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Artificial Intelligence (AI) has been attributed a</w:t>
      </w:r>
      <w:r>
        <w:t xml:space="preserve"> </w:t>
      </w:r>
      <w:r>
        <w:rPr>
          <w:i/>
          <w:iCs/>
        </w:rPr>
        <w:t xml:space="preserve">sense of agency</w:t>
      </w:r>
      <w:r>
        <w:t xml:space="preserve"> </w:t>
      </w:r>
      <w:r>
        <w:t xml:space="preserve">(SoA)</w:t>
      </w:r>
      <w:r>
        <w:t xml:space="preserve">(Legaspi, He, and Toyoizumi 2019)</w:t>
      </w:r>
      <w:r>
        <w:t xml:space="preserve">. Even more so with the emerging paradigm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 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definition human agency is the capability to</w:t>
      </w:r>
      <w:r>
        <w:t xml:space="preserve"> </w:t>
      </w:r>
      <w:r>
        <w:t xml:space="preserve">“make a difference”</w:t>
      </w:r>
      <w:r>
        <w:t xml:space="preserve">, in other words to have and be able to exercise power over a situation.</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liberty increase</w:t>
      </w:r>
      <w:r>
        <w:t xml:space="preserve"> </w:t>
      </w:r>
      <w:r>
        <w:t xml:space="preserve">(Prados de la Escosura 2022; Sen 1999)</w:t>
      </w:r>
      <w:r>
        <w:t xml:space="preserve">. 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w:t>
      </w:r>
    </w:p>
    <w:bookmarkEnd w:id="21"/>
    <w:bookmarkStart w:id="22" w:name="hook"/>
    <w:p>
      <w:pPr>
        <w:pStyle w:val="Heading2"/>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rationaliy of technology as ideological. The ideology that technological progress is inevitable and oppressive is in direct opposition to the hegemony of Silicon Valley that believes in Innovation at all costs,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Hegelian</w:t>
      </w:r>
      <w:r>
        <w:t xml:space="preserve"> </w:t>
      </w:r>
      <w:r>
        <w:rPr>
          <w:i/>
          <w:iCs/>
        </w:rPr>
        <w:t xml:space="preserve">Rationality</w:t>
      </w:r>
      <w:r>
        <w:t xml:space="preserve"> </w:t>
      </w:r>
      <w:r>
        <w:t xml:space="preserve">should leads towards freedom and cannot be seen separate from the societal boundaries [</w:t>
      </w:r>
      <w:r>
        <w:t xml:space="preserve">Pippin (2008)</w:t>
      </w:r>
      <w:r>
        <w:t xml:space="preserve"> </w:t>
      </w:r>
      <w:r>
        <w:t xml:space="preserve">p. 122;], where there might be roles one fits instead of actually performing an action by one’s own beliefss.</w:t>
      </w:r>
      <w:r>
        <w:t xml:space="preserve"> </w:t>
      </w:r>
      <w:r>
        <w:t xml:space="preserve">The concepts of agency put forward by</w:t>
      </w:r>
      <w:r>
        <w:t xml:space="preserve"> </w:t>
      </w:r>
      <w:r>
        <w:t xml:space="preserve">Giddens (1984)</w:t>
      </w:r>
      <w:r>
        <w:t xml:space="preserve"> </w:t>
      </w:r>
      <w:r>
        <w:t xml:space="preserve">and</w:t>
      </w:r>
      <w:r>
        <w:t xml:space="preserve"> </w:t>
      </w:r>
      <w:r>
        <w:t xml:space="preserve">Bandura (2001)</w:t>
      </w:r>
      <w:r>
        <w:t xml:space="preserve"> </w:t>
      </w:r>
      <w:r>
        <w:t xml:space="preserve">emphasise different dimensions. Where Giddens focuses on the social structure,</w:t>
      </w:r>
      <w:r>
        <w:t xml:space="preserve"> </w:t>
      </w:r>
      <w:r>
        <w:t xml:space="preserve">“making a difference”</w:t>
      </w:r>
      <w:r>
        <w:t xml:space="preserve">, Bandura focuses on aspects that make up individual agency,</w:t>
      </w:r>
      <w:r>
        <w:t xml:space="preserve"> </w:t>
      </w:r>
      <w:r>
        <w:rPr>
          <w:i/>
          <w:iCs/>
        </w:rPr>
        <w:t xml:space="preserve">intentionality, forethought, self-reactiveness and self-reflectiveness</w:t>
      </w:r>
      <w:r>
        <w:t xml:space="preserve">.</w:t>
      </w:r>
    </w:p>
    <w:p>
      <w:pPr>
        <w:pStyle w:val="BodyText"/>
      </w:pPr>
      <w:r>
        <w:t xml:space="preserve">Sense of Agency in relation to Agentic AI or AI in general, is under pressure from societal beliefs and expectations that we have that technology will fullfill.</w:t>
      </w:r>
    </w:p>
    <w:p>
      <w:pPr>
        <w:pStyle w:val="BodyText"/>
      </w:pPr>
    </w:p>
    <w:p>
      <w:pPr>
        <w:pStyle w:val="BodyText"/>
      </w:pPr>
      <w:r>
        <w:drawing>
          <wp:inline>
            <wp:extent cx="5334000" cy="3856789"/>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3856789"/>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75" w:name="references"/>
    <w:p>
      <w:pPr>
        <w:pStyle w:val="Heading2"/>
      </w:pPr>
      <w:r>
        <w:t xml:space="preserve">References</w:t>
      </w:r>
    </w:p>
    <w:bookmarkStart w:id="74"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1">
        <w:r>
          <w:rPr>
            <w:rStyle w:val="Hyperlink"/>
          </w:rPr>
          <w:t xml:space="preserve">https://doi.org/10.1007/978-94-009-9365-5_5</w:t>
        </w:r>
      </w:hyperlink>
      <w:r>
        <w:t xml:space="preserve">.</w:t>
      </w:r>
    </w:p>
    <w:bookmarkEnd w:id="42"/>
    <w:bookmarkStart w:id="44"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3">
        <w:r>
          <w:rPr>
            <w:rStyle w:val="Hyperlink"/>
          </w:rPr>
          <w:t xml:space="preserve">https://doi.org/10.1145/3459990.3460712</w:t>
        </w:r>
      </w:hyperlink>
      <w:r>
        <w:t xml:space="preserve">.</w:t>
      </w:r>
    </w:p>
    <w:bookmarkEnd w:id="44"/>
    <w:bookmarkStart w:id="45"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5"/>
    <w:bookmarkStart w:id="46"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46"/>
    <w:bookmarkStart w:id="47"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47"/>
    <w:bookmarkStart w:id="49"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8">
        <w:r>
          <w:rPr>
            <w:rStyle w:val="Hyperlink"/>
          </w:rPr>
          <w:t xml:space="preserve">https://doi.org/10.1007/s13347-023-00672-1</w:t>
        </w:r>
      </w:hyperlink>
      <w:r>
        <w:t xml:space="preserve">.</w:t>
      </w:r>
    </w:p>
    <w:bookmarkEnd w:id="49"/>
    <w:bookmarkStart w:id="50"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0"/>
    <w:bookmarkStart w:id="51"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1"/>
    <w:bookmarkStart w:id="53"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2">
        <w:r>
          <w:rPr>
            <w:rStyle w:val="Hyperlink"/>
          </w:rPr>
          <w:t xml:space="preserve">https://doi.org/10.1016/j.cobeha.2019.04.004</w:t>
        </w:r>
      </w:hyperlink>
      <w:r>
        <w:t xml:space="preserve">.</w:t>
      </w:r>
    </w:p>
    <w:bookmarkEnd w:id="53"/>
    <w:bookmarkStart w:id="54"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54"/>
    <w:bookmarkStart w:id="56"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5">
        <w:r>
          <w:rPr>
            <w:rStyle w:val="Hyperlink"/>
          </w:rPr>
          <w:t xml:space="preserve">https://doi.org/10.1007/s11948-013-9464-1</w:t>
        </w:r>
      </w:hyperlink>
      <w:r>
        <w:t xml:space="preserve">.</w:t>
      </w:r>
    </w:p>
    <w:bookmarkEnd w:id="56"/>
    <w:bookmarkStart w:id="58"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57">
        <w:r>
          <w:rPr>
            <w:rStyle w:val="Hyperlink"/>
          </w:rPr>
          <w:t xml:space="preserve">https://doi.org/10.1007/s44206-025-00203-9</w:t>
        </w:r>
      </w:hyperlink>
      <w:r>
        <w:t xml:space="preserve">.</w:t>
      </w:r>
    </w:p>
    <w:bookmarkEnd w:id="58"/>
    <w:bookmarkStart w:id="59"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59"/>
    <w:bookmarkStart w:id="61"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0">
        <w:r>
          <w:rPr>
            <w:rStyle w:val="Hyperlink"/>
          </w:rPr>
          <w:t xml:space="preserve">https://doi.org/10.1016/j.chbah.2024.100062</w:t>
        </w:r>
      </w:hyperlink>
      <w:r>
        <w:t xml:space="preserve">.</w:t>
      </w:r>
    </w:p>
    <w:bookmarkEnd w:id="61"/>
    <w:bookmarkStart w:id="62" w:name="ref-Pippin_2008"/>
    <w:p>
      <w:pPr>
        <w:pStyle w:val="Bibliography"/>
      </w:pPr>
      <w:r>
        <w:t xml:space="preserve">Pippin, Robert B. 2008.</w:t>
      </w:r>
      <w:r>
        <w:t xml:space="preserve"> </w:t>
      </w:r>
      <w:r>
        <w:t xml:space="preserve">“Institutional Rationality.”</w:t>
      </w:r>
      <w:r>
        <w:t xml:space="preserve"> </w:t>
      </w:r>
      <w:r>
        <w:t xml:space="preserve">In</w:t>
      </w:r>
      <w:r>
        <w:t xml:space="preserve"> </w:t>
      </w:r>
      <w:r>
        <w:rPr>
          <w:i/>
          <w:iCs/>
        </w:rPr>
        <w:t xml:space="preserve">Hegel’s Practical Philosophy:</w:t>
      </w:r>
      <w:r>
        <w:rPr>
          <w:i/>
          <w:iCs/>
        </w:rPr>
        <w:t xml:space="preserve"> </w:t>
      </w:r>
      <w:r>
        <w:rPr>
          <w:i/>
          <w:iCs/>
        </w:rPr>
        <w:t xml:space="preserve">Rational</w:t>
      </w:r>
      <w:r>
        <w:rPr>
          <w:i/>
          <w:iCs/>
        </w:rPr>
        <w:t xml:space="preserve"> </w:t>
      </w:r>
      <w:r>
        <w:rPr>
          <w:i/>
          <w:iCs/>
        </w:rPr>
        <w:t xml:space="preserve">Agency as Ethical Life</w:t>
      </w:r>
      <w:r>
        <w:t xml:space="preserve">, 239–72. Cambridge: Cambridge University Press.</w:t>
      </w:r>
    </w:p>
    <w:bookmarkEnd w:id="62"/>
    <w:bookmarkStart w:id="64"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63">
        <w:r>
          <w:rPr>
            <w:rStyle w:val="Hyperlink"/>
          </w:rPr>
          <w:t xml:space="preserve">https://doi.org/10.3390/educsci15091134</w:t>
        </w:r>
      </w:hyperlink>
      <w:r>
        <w:t xml:space="preserve">.</w:t>
      </w:r>
    </w:p>
    <w:bookmarkEnd w:id="64"/>
    <w:bookmarkStart w:id="65"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65"/>
    <w:bookmarkStart w:id="67"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66">
        <w:r>
          <w:rPr>
            <w:rStyle w:val="Hyperlink"/>
          </w:rPr>
          <w:t xml:space="preserve">https://doi.org/10.48550/arXiv.2507.00951</w:t>
        </w:r>
      </w:hyperlink>
      <w:r>
        <w:t xml:space="preserve">.</w:t>
      </w:r>
    </w:p>
    <w:bookmarkEnd w:id="67"/>
    <w:bookmarkStart w:id="68"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68"/>
    <w:bookmarkStart w:id="69"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69"/>
    <w:bookmarkStart w:id="71"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70">
        <w:r>
          <w:rPr>
            <w:rStyle w:val="Hyperlink"/>
          </w:rPr>
          <w:t xml:space="preserve">https://doi.org/10.48550/arXiv.2308.03598</w:t>
        </w:r>
      </w:hyperlink>
      <w:r>
        <w:t xml:space="preserve">.</w:t>
      </w:r>
    </w:p>
    <w:bookmarkEnd w:id="71"/>
    <w:bookmarkStart w:id="73"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72">
        <w:r>
          <w:rPr>
            <w:rStyle w:val="Hyperlink"/>
          </w:rPr>
          <w:t xml:space="preserve">https://doi.org/10.1007/978-3-319-91134-2_8</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72" Target="https://doi.org/10.1007/978-3-319-91134-2_8" TargetMode="External" /><Relationship Type="http://schemas.openxmlformats.org/officeDocument/2006/relationships/hyperlink" Id="rId41" Target="https://doi.org/10.1007/978-94-009-9365-5_5" TargetMode="External" /><Relationship Type="http://schemas.openxmlformats.org/officeDocument/2006/relationships/hyperlink" Id="rId55" Target="https://doi.org/10.1007/s11948-013-9464-1" TargetMode="External" /><Relationship Type="http://schemas.openxmlformats.org/officeDocument/2006/relationships/hyperlink" Id="rId48"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57" Target="https://doi.org/10.1007/s44206-025-00203-9" TargetMode="External" /><Relationship Type="http://schemas.openxmlformats.org/officeDocument/2006/relationships/hyperlink" Id="rId60" Target="https://doi.org/10.1016/j.chbah.2024.100062" TargetMode="External" /><Relationship Type="http://schemas.openxmlformats.org/officeDocument/2006/relationships/hyperlink" Id="rId52" Target="https://doi.org/10.1016/j.cobeha.2019.04.004"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3"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63" Target="https://doi.org/10.3390/educsci15091134" TargetMode="External" /><Relationship Type="http://schemas.openxmlformats.org/officeDocument/2006/relationships/hyperlink" Id="rId70" Target="https://doi.org/10.48550/arXiv.2308.03598" TargetMode="External" /><Relationship Type="http://schemas.openxmlformats.org/officeDocument/2006/relationships/hyperlink" Id="rId66"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978-3-319-91134-2_8" TargetMode="External" /><Relationship Type="http://schemas.openxmlformats.org/officeDocument/2006/relationships/hyperlink" Id="rId41" Target="https://doi.org/10.1007/978-94-009-9365-5_5" TargetMode="External" /><Relationship Type="http://schemas.openxmlformats.org/officeDocument/2006/relationships/hyperlink" Id="rId55" Target="https://doi.org/10.1007/s11948-013-9464-1" TargetMode="External" /><Relationship Type="http://schemas.openxmlformats.org/officeDocument/2006/relationships/hyperlink" Id="rId48"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57" Target="https://doi.org/10.1007/s44206-025-00203-9" TargetMode="External" /><Relationship Type="http://schemas.openxmlformats.org/officeDocument/2006/relationships/hyperlink" Id="rId60" Target="https://doi.org/10.1016/j.chbah.2024.100062" TargetMode="External" /><Relationship Type="http://schemas.openxmlformats.org/officeDocument/2006/relationships/hyperlink" Id="rId52" Target="https://doi.org/10.1016/j.cobeha.2019.04.004"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3"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63" Target="https://doi.org/10.3390/educsci15091134" TargetMode="External" /><Relationship Type="http://schemas.openxmlformats.org/officeDocument/2006/relationships/hyperlink" Id="rId70" Target="https://doi.org/10.48550/arXiv.2308.03598" TargetMode="External" /><Relationship Type="http://schemas.openxmlformats.org/officeDocument/2006/relationships/hyperlink" Id="rId66"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2026-03-17T18:58:05Z</dcterms:created>
  <dcterms:modified xsi:type="dcterms:W3CDTF">2026-03-17T18:58:05Z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