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PhD Proposal</w:t>
      </w:r>
    </w:p>
    <w:bookmarkStart w:id="20" w:name="introduction"/>
    <w:p>
      <w:pPr>
        <w:pStyle w:val="Heading2"/>
      </w:pPr>
      <w:r>
        <w:t xml:space="preserve">Introduction</w:t>
      </w:r>
    </w:p>
    <w:p>
      <w:pPr>
        <w:pStyle w:val="FirstParagraph"/>
      </w:pPr>
      <w:r>
        <w:t xml:space="preserve">For most people exchanging data, even personal data has become essential to their day to day life. We exchange messages, store data about our health, and use apps where the exchange of our coordinates on this earth are accurate up to about 1-2 meters. As we do not pay for these services and these companies thrive on the use of our data and tracking our every move, serious concerns are being raised about the risks on an individual and societal level</w:t>
      </w:r>
      <w:r>
        <w:t xml:space="preserve"> </w:t>
      </w:r>
      <w:r>
        <w:t xml:space="preserve">(Rathenau Instituut 2025)</w:t>
      </w:r>
      <w:r>
        <w:t xml:space="preserve">. From a government perspective biometric data is collected for refugees registering to seek asylum</w:t>
      </w:r>
      <w:r>
        <w:t xml:space="preserve"> </w:t>
      </w:r>
      <w:r>
        <w:t xml:space="preserve">(Farraj 2010)</w:t>
      </w:r>
      <w:r>
        <w:t xml:space="preserve"> </w:t>
      </w:r>
      <w:r>
        <w:t xml:space="preserve">and we have seen a surge in digital health passes during and after COVID-19</w:t>
      </w:r>
      <w:r>
        <w:t xml:space="preserve"> </w:t>
      </w:r>
      <w:r>
        <w:t xml:space="preserve">(Mithani et al. 2022)</w:t>
      </w:r>
      <w:r>
        <w:t xml:space="preserve">. Haiti saw one of the most effective participation in crowdsourced mapping through Ushahidi</w:t>
      </w:r>
      <w:r>
        <w:t xml:space="preserve"> </w:t>
      </w:r>
      <w:r>
        <w:t xml:space="preserve">(Norheim-Hagtun and Meier 2010)</w:t>
      </w:r>
      <w:r>
        <w:t xml:space="preserve">. Some of these efforts are well intended and do a lot of good</w:t>
      </w:r>
      <w:r>
        <w:t xml:space="preserve"> </w:t>
      </w:r>
      <w:r>
        <w:t xml:space="preserve">Organisation (n.d.)</w:t>
      </w:r>
      <w:r>
        <w:t xml:space="preserve">, but this tracking of biometric and social data is also used for the creation of economic value and has lead to something more than just a phenomenon of capitalism; it’s a manifestation of colonialism</w:t>
      </w:r>
      <w:r>
        <w:t xml:space="preserve"> </w:t>
      </w:r>
      <w:r>
        <w:t xml:space="preserve">(Couldry and Mejias 2019)</w:t>
      </w:r>
      <w:r>
        <w:t xml:space="preserve">. With new developments in AI this becomes more prevalent as data and AI</w:t>
      </w:r>
      <w:r>
        <w:t xml:space="preserve"> </w:t>
      </w:r>
      <w:r>
        <w:t xml:space="preserve">“entrench power assymetries and engender new forms of structural violence and new inequities between the global South and North”</w:t>
      </w:r>
      <w:r>
        <w:t xml:space="preserve"> </w:t>
      </w:r>
      <w:r>
        <w:t xml:space="preserve">(Madianou 2024)</w:t>
      </w:r>
      <w:r>
        <w:t xml:space="preserve">. The quest for more users and ever larger expansion has led Big Tech (e.g. Google, Meta) to look for areas where internet usage is not as widely spread as it is in</w:t>
      </w:r>
      <w:r>
        <w:t xml:space="preserve"> </w:t>
      </w:r>
      <w:r>
        <w:t xml:space="preserve">“the West”</w:t>
      </w:r>
      <w:r>
        <w:t xml:space="preserve"> </w:t>
      </w:r>
      <w:r>
        <w:t xml:space="preserve">and offer programs providing a limited set of Internet services (e.g. Project Loon</w:t>
      </w:r>
      <w:r>
        <w:t xml:space="preserve"> </w:t>
      </w:r>
      <w:r>
        <w:t xml:space="preserve">(</w:t>
      </w: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t xml:space="preserve">and Free Basics</w:t>
      </w:r>
      <w:r>
        <w:t xml:space="preserve"> </w:t>
      </w:r>
      <w:r>
        <w:t xml:space="preserve">(</w:t>
      </w:r>
      <w:r>
        <w:t xml:space="preserve">“Meta</w:t>
      </w:r>
      <w:r>
        <w:t xml:space="preserve"> </w:t>
      </w:r>
      <w:r>
        <w:t xml:space="preserve">Connectivity</w:t>
      </w:r>
      <w:r>
        <w:t xml:space="preserve">”</w:t>
      </w:r>
      <w:r>
        <w:t xml:space="preserve"> </w:t>
      </w:r>
      <w:r>
        <w:t xml:space="preserve">n.d.)</w:t>
      </w:r>
      <w:r>
        <w:t xml:space="preserve">). There is little to no protection or privacy for private consumers unless government regulation explicitly makes it so, like the GDPR program</w:t>
      </w:r>
      <w:r>
        <w:t xml:space="preserve"> </w:t>
      </w:r>
      <w:r>
        <w:t xml:space="preserve">(Arora 2019)</w:t>
      </w:r>
      <w:r>
        <w:t xml:space="preserve">.</w:t>
      </w:r>
    </w:p>
    <w:bookmarkEnd w:id="20"/>
    <w:bookmarkStart w:id="21" w:name="research-questions"/>
    <w:p>
      <w:pPr>
        <w:pStyle w:val="Heading2"/>
      </w:pPr>
      <w:r>
        <w:t xml:space="preserve">Research Questions</w:t>
      </w:r>
    </w:p>
    <w:p>
      <w:pPr>
        <w:pStyle w:val="FirstParagraph"/>
      </w:pPr>
      <w:r>
        <w:t xml:space="preserve">In what way can power assymetries between the majority world and the minority world be limited by effective legislation towards protecting personal data of citizens?</w:t>
      </w:r>
    </w:p>
    <w:p>
      <w:pPr>
        <w:pStyle w:val="BodyText"/>
      </w:pPr>
      <w:r>
        <w:t xml:space="preserve">How can privacy literacy be increased that respects a cultural tradition without using a Eurocentric view of individual privacy but including a collective privacy?</w:t>
      </w:r>
    </w:p>
    <w:bookmarkEnd w:id="21"/>
    <w:bookmarkStart w:id="22" w:name="methodology"/>
    <w:p>
      <w:pPr>
        <w:pStyle w:val="Heading2"/>
      </w:pPr>
      <w:r>
        <w:t xml:space="preserve">Methodology</w:t>
      </w:r>
    </w:p>
    <w:p>
      <w:pPr>
        <w:pStyle w:val="Compact"/>
        <w:numPr>
          <w:ilvl w:val="0"/>
          <w:numId w:val="1001"/>
        </w:numPr>
      </w:pPr>
      <w:r>
        <w:t xml:space="preserve">Qualitative investigation of policy, laws in different countries</w:t>
      </w:r>
    </w:p>
    <w:p>
      <w:pPr>
        <w:pStyle w:val="Compact"/>
        <w:numPr>
          <w:ilvl w:val="0"/>
          <w:numId w:val="1001"/>
        </w:numPr>
      </w:pPr>
      <w:r>
        <w:t xml:space="preserve">Questionnaire on usage of internet and awareness of privacy concerns..</w:t>
      </w:r>
    </w:p>
    <w:bookmarkEnd w:id="22"/>
    <w:bookmarkStart w:id="35" w:name="references"/>
    <w:p>
      <w:pPr>
        <w:pStyle w:val="Heading2"/>
      </w:pPr>
      <w:r>
        <w:t xml:space="preserve">References</w:t>
      </w:r>
    </w:p>
    <w:bookmarkStart w:id="34" w:name="refs"/>
    <w:bookmarkStart w:id="23" w:name="ref-arora2019general"/>
    <w:p>
      <w:pPr>
        <w:pStyle w:val="Bibliography"/>
      </w:pPr>
      <w:r>
        <w:t xml:space="preserve">Arora, Payal. 2019.</w:t>
      </w:r>
      <w:r>
        <w:t xml:space="preserve"> </w:t>
      </w:r>
      <w:r>
        <w:t xml:space="preserve">“General Data Protection Regulation—</w:t>
      </w:r>
      <w:r>
        <w:t xml:space="preserve">A</w:t>
      </w:r>
      <w:r>
        <w:t xml:space="preserve"> </w:t>
      </w:r>
      <w:r>
        <w:t xml:space="preserve">Global Standard?</w:t>
      </w:r>
      <w:r>
        <w:t xml:space="preserve"> </w:t>
      </w:r>
      <w:r>
        <w:t xml:space="preserve">Privacy</w:t>
      </w:r>
      <w:r>
        <w:t xml:space="preserve"> </w:t>
      </w:r>
      <w:r>
        <w:t xml:space="preserve">Futures, Digital Activism, and Surveillance Cultures in the</w:t>
      </w:r>
      <w:r>
        <w:t xml:space="preserve"> </w:t>
      </w:r>
      <w:r>
        <w:t xml:space="preserve">Global South</w:t>
      </w:r>
      <w:r>
        <w:t xml:space="preserve">.”</w:t>
      </w:r>
      <w:r>
        <w:t xml:space="preserve"> </w:t>
      </w:r>
      <w:r>
        <w:rPr>
          <w:i/>
          <w:iCs/>
        </w:rPr>
        <w:t xml:space="preserve">Surveillance &amp; Society</w:t>
      </w:r>
      <w:r>
        <w:t xml:space="preserve"> </w:t>
      </w:r>
      <w:r>
        <w:t xml:space="preserve">17 (5): 717–25.</w:t>
      </w:r>
    </w:p>
    <w:bookmarkEnd w:id="23"/>
    <w:bookmarkStart w:id="24" w:name="ref-couldry2019data"/>
    <w:p>
      <w:pPr>
        <w:pStyle w:val="Bibliography"/>
      </w:pPr>
      <w:r>
        <w:t xml:space="preserve">Couldry, Nick, and Ulises A Mejias. 2019.</w:t>
      </w:r>
      <w:r>
        <w:t xml:space="preserve"> </w:t>
      </w:r>
      <w:r>
        <w:t xml:space="preserve">“Data Colonialism:</w:t>
      </w:r>
      <w:r>
        <w:t xml:space="preserve"> </w:t>
      </w:r>
      <w:r>
        <w:t xml:space="preserve">Rethinking</w:t>
      </w:r>
      <w:r>
        <w:t xml:space="preserve"> </w:t>
      </w:r>
      <w:r>
        <w:t xml:space="preserve">Big Data’s Relation to the Contemporary Subject.”</w:t>
      </w:r>
      <w:r>
        <w:t xml:space="preserve"> </w:t>
      </w:r>
      <w:r>
        <w:rPr>
          <w:i/>
          <w:iCs/>
        </w:rPr>
        <w:t xml:space="preserve">Television &amp; New Media</w:t>
      </w:r>
      <w:r>
        <w:t xml:space="preserve"> </w:t>
      </w:r>
      <w:r>
        <w:t xml:space="preserve">20 (4): 336–49.</w:t>
      </w:r>
    </w:p>
    <w:bookmarkEnd w:id="24"/>
    <w:bookmarkStart w:id="25" w:name="ref-farraj2010refugees"/>
    <w:p>
      <w:pPr>
        <w:pStyle w:val="Bibliography"/>
      </w:pPr>
      <w:r>
        <w:t xml:space="preserve">Farraj, Achraf. 2010.</w:t>
      </w:r>
      <w:r>
        <w:t xml:space="preserve"> </w:t>
      </w:r>
      <w:r>
        <w:t xml:space="preserve">“Refugees and the Biometric Future: The Impact of Biometrics on Refugees and Asylum Seekers”</w:t>
      </w:r>
      <w:r>
        <w:t xml:space="preserve"> </w:t>
      </w:r>
      <w:r>
        <w:t xml:space="preserve">42: 891.</w:t>
      </w:r>
    </w:p>
    <w:bookmarkEnd w:id="25"/>
    <w:bookmarkStart w:id="26" w:name="ref-IntroducingProjectLoon2013"/>
    <w:p>
      <w:pPr>
        <w:pStyle w:val="Bibliography"/>
      </w:pPr>
      <w:r>
        <w:t xml:space="preserve">“Introducing</w:t>
      </w:r>
      <w:r>
        <w:t xml:space="preserve"> </w:t>
      </w:r>
      <w:r>
        <w:t xml:space="preserve">Project Loon</w:t>
      </w:r>
      <w:r>
        <w:t xml:space="preserve">:</w:t>
      </w:r>
      <w:r>
        <w:t xml:space="preserve"> </w:t>
      </w:r>
      <w:r>
        <w:t xml:space="preserve">Balloon-powered Internet</w:t>
      </w:r>
      <w:r>
        <w:t xml:space="preserve"> </w:t>
      </w:r>
      <w:r>
        <w:t xml:space="preserve">Access.”</w:t>
      </w:r>
      <w:r>
        <w:t xml:space="preserve"> </w:t>
      </w:r>
      <w:r>
        <w:t xml:space="preserve">2013.</w:t>
      </w:r>
      <w:r>
        <w:t xml:space="preserve"> </w:t>
      </w:r>
      <w:r>
        <w:rPr>
          <w:i/>
          <w:iCs/>
        </w:rPr>
        <w:t xml:space="preserve">Google</w:t>
      </w:r>
      <w:r>
        <w:t xml:space="preserve">. https://blog.google/alphabet/introducing-project-loon/.</w:t>
      </w:r>
    </w:p>
    <w:bookmarkEnd w:id="26"/>
    <w:bookmarkStart w:id="27" w:name="ref-madianou2024technocolonialism"/>
    <w:p>
      <w:pPr>
        <w:pStyle w:val="Bibliography"/>
      </w:pPr>
      <w:r>
        <w:t xml:space="preserve">Madianou, Mirca. 2024.</w:t>
      </w:r>
      <w:r>
        <w:t xml:space="preserve"> </w:t>
      </w:r>
      <w:r>
        <w:rPr>
          <w:i/>
          <w:iCs/>
        </w:rPr>
        <w:t xml:space="preserve">Technocolonialism:</w:t>
      </w:r>
      <w:r>
        <w:rPr>
          <w:i/>
          <w:iCs/>
        </w:rPr>
        <w:t xml:space="preserve"> </w:t>
      </w:r>
      <w:r>
        <w:rPr>
          <w:i/>
          <w:iCs/>
        </w:rPr>
        <w:t xml:space="preserve">When</w:t>
      </w:r>
      <w:r>
        <w:rPr>
          <w:i/>
          <w:iCs/>
        </w:rPr>
        <w:t xml:space="preserve"> </w:t>
      </w:r>
      <w:r>
        <w:rPr>
          <w:i/>
          <w:iCs/>
        </w:rPr>
        <w:t xml:space="preserve">Technology for Good Is Harmful</w:t>
      </w:r>
      <w:r>
        <w:t xml:space="preserve">. John Wiley &amp; Sons.</w:t>
      </w:r>
    </w:p>
    <w:bookmarkEnd w:id="27"/>
    <w:bookmarkStart w:id="28" w:name="ref-MetaConnectivity"/>
    <w:p>
      <w:pPr>
        <w:pStyle w:val="Bibliography"/>
      </w:pPr>
      <w:r>
        <w:t xml:space="preserve">“Meta</w:t>
      </w:r>
      <w:r>
        <w:t xml:space="preserve"> </w:t>
      </w:r>
      <w:r>
        <w:t xml:space="preserve">Connectivity</w:t>
      </w:r>
      <w:r>
        <w:t xml:space="preserve">.”</w:t>
      </w:r>
      <w:r>
        <w:t xml:space="preserve"> </w:t>
      </w:r>
      <w:r>
        <w:t xml:space="preserve">n.d. https://www.facebook.com/connectivity/solutions/free-basics/. Accessed July 10, 2025.</w:t>
      </w:r>
    </w:p>
    <w:bookmarkEnd w:id="28"/>
    <w:bookmarkStart w:id="29" w:name="ref-mithani2022scoping"/>
    <w:p>
      <w:pPr>
        <w:pStyle w:val="Bibliography"/>
      </w:pPr>
      <w:r>
        <w:t xml:space="preserve">Mithani, Salima S, A Brianne Bota, David T Zhu, and Kumanan Wilson. 2022.</w:t>
      </w:r>
      <w:r>
        <w:t xml:space="preserve"> </w:t>
      </w:r>
      <w:r>
        <w:t xml:space="preserve">“A Scoping Review of Global Vaccine Certificate Solutions for</w:t>
      </w:r>
      <w:r>
        <w:t xml:space="preserve"> </w:t>
      </w:r>
      <w:r>
        <w:t xml:space="preserve">COVID-19</w:t>
      </w:r>
      <w:r>
        <w:t xml:space="preserve">.”</w:t>
      </w:r>
      <w:r>
        <w:t xml:space="preserve"> </w:t>
      </w:r>
      <w:r>
        <w:rPr>
          <w:i/>
          <w:iCs/>
        </w:rPr>
        <w:t xml:space="preserve">Human Vaccines &amp; Immunotherapeutics</w:t>
      </w:r>
      <w:r>
        <w:t xml:space="preserve"> </w:t>
      </w:r>
      <w:r>
        <w:t xml:space="preserve">18 (1): 1–12.</w:t>
      </w:r>
    </w:p>
    <w:bookmarkEnd w:id="29"/>
    <w:bookmarkStart w:id="30" w:name="ref-norheim2010crowdsourcing"/>
    <w:p>
      <w:pPr>
        <w:pStyle w:val="Bibliography"/>
      </w:pPr>
      <w:r>
        <w:t xml:space="preserve">Norheim-Hagtun, Ida, and Patrick Meier. 2010.</w:t>
      </w:r>
      <w:r>
        <w:t xml:space="preserve"> </w:t>
      </w:r>
      <w:r>
        <w:t xml:space="preserve">“Crowdsourcing for Crisis Mapping in</w:t>
      </w:r>
      <w:r>
        <w:t xml:space="preserve"> </w:t>
      </w:r>
      <w:r>
        <w:t xml:space="preserve">Haiti</w:t>
      </w:r>
      <w:r>
        <w:t xml:space="preserve">.”</w:t>
      </w:r>
      <w:r>
        <w:t xml:space="preserve"> </w:t>
      </w:r>
      <w:r>
        <w:rPr>
          <w:i/>
          <w:iCs/>
        </w:rPr>
        <w:t xml:space="preserve">Innovations: Technology</w:t>
      </w:r>
      <w:r>
        <w:rPr>
          <w:i/>
          <w:iCs/>
        </w:rPr>
        <w:t xml:space="preserve"> </w:t>
      </w:r>
      <w:r>
        <w:rPr>
          <w:i/>
          <w:iCs/>
        </w:rPr>
        <w:t xml:space="preserve">Governance</w:t>
      </w:r>
      <w:r>
        <w:rPr>
          <w:i/>
          <w:iCs/>
        </w:rPr>
        <w:t xml:space="preserve"> </w:t>
      </w:r>
      <w:r>
        <w:rPr>
          <w:i/>
          <w:iCs/>
        </w:rPr>
        <w:t xml:space="preserve">Globalization</w:t>
      </w:r>
      <w:r>
        <w:t xml:space="preserve"> </w:t>
      </w:r>
      <w:r>
        <w:t xml:space="preserve">5 (4): 81.</w:t>
      </w:r>
    </w:p>
    <w:bookmarkEnd w:id="30"/>
    <w:bookmarkStart w:id="31" w:name="X9cca9fe32b77909657130eb8057ef82d0e0ba3b"/>
    <w:p>
      <w:pPr>
        <w:pStyle w:val="Bibliography"/>
      </w:pPr>
      <w:r>
        <w:t xml:space="preserve">Organisation, World Health. n.d.</w:t>
      </w:r>
      <w:r>
        <w:t xml:space="preserve"> </w:t>
      </w:r>
      <w:r>
        <w:t xml:space="preserve">“Global</w:t>
      </w:r>
      <w:r>
        <w:t xml:space="preserve"> </w:t>
      </w:r>
      <w:r>
        <w:t xml:space="preserve">Digital Health Certification Network</w:t>
      </w:r>
      <w:r>
        <w:t xml:space="preserve">.”</w:t>
      </w:r>
      <w:r>
        <w:t xml:space="preserve"> </w:t>
      </w:r>
      <w:r>
        <w:rPr>
          <w:i/>
          <w:iCs/>
        </w:rPr>
        <w:t xml:space="preserve">Www.who.int</w:t>
      </w:r>
      <w:r>
        <w:t xml:space="preserve">. https://www.who.int/initiatives/global-digital-health-certification-network. Accessed June 26, 2025.</w:t>
      </w:r>
    </w:p>
    <w:bookmarkEnd w:id="31"/>
    <w:bookmarkStart w:id="32" w:name="ref-rathenauinstituutPrijsVanGratis2025"/>
    <w:p>
      <w:pPr>
        <w:pStyle w:val="Bibliography"/>
      </w:pPr>
      <w:r>
        <w:t xml:space="preserve">Rathenau Instituut. 2025.</w:t>
      </w:r>
      <w:r>
        <w:t xml:space="preserve"> </w:t>
      </w:r>
      <w:r>
        <w:t xml:space="preserve">“</w:t>
      </w:r>
      <w:r>
        <w:t xml:space="preserve">De prijs van gratis internet</w:t>
      </w:r>
      <w:r>
        <w:t xml:space="preserve">.”</w:t>
      </w:r>
    </w:p>
    <w:bookmarkEnd w:id="32"/>
    <w:bookmarkStart w:id="33" w:name="ref-soden2014crowdsourced"/>
    <w:p>
      <w:pPr>
        <w:pStyle w:val="Bibliography"/>
      </w:pPr>
      <w:r>
        <w:t xml:space="preserve">Soden, Robert, and Leysia Palen. 2014.</w:t>
      </w:r>
      <w:r>
        <w:t xml:space="preserve"> </w:t>
      </w:r>
      <w:r>
        <w:t xml:space="preserve">“From Crowdsourced Mapping to Community Mapping:</w:t>
      </w:r>
      <w:r>
        <w:t xml:space="preserve"> </w:t>
      </w:r>
      <w:r>
        <w:t xml:space="preserve">The</w:t>
      </w:r>
      <w:r>
        <w:t xml:space="preserve"> </w:t>
      </w:r>
      <w:r>
        <w:t xml:space="preserve">Post-Earthquake Work of</w:t>
      </w:r>
      <w:r>
        <w:t xml:space="preserve"> </w:t>
      </w:r>
      <w:r>
        <w:t xml:space="preserve">OpenStreetMap Haiti</w:t>
      </w:r>
      <w:r>
        <w:t xml:space="preserve">.”</w:t>
      </w:r>
      <w:r>
        <w:t xml:space="preserve"> </w:t>
      </w:r>
      <w:r>
        <w:t xml:space="preserve">In</w:t>
      </w:r>
      <w:r>
        <w:t xml:space="preserve"> </w:t>
      </w:r>
      <w:r>
        <w:rPr>
          <w:i/>
          <w:iCs/>
        </w:rPr>
        <w:t xml:space="preserve">COOP</w:t>
      </w:r>
      <w:r>
        <w:rPr>
          <w:i/>
          <w:iCs/>
        </w:rPr>
        <w:t xml:space="preserve"> </w:t>
      </w:r>
      <w:r>
        <w:rPr>
          <w:i/>
          <w:iCs/>
        </w:rPr>
        <w:t xml:space="preserve">2014-Proceedings of the 11th International Conference on the Design of Cooperative Systems, 27-30 May 2014, Nice (France)</w:t>
      </w:r>
      <w:r>
        <w:t xml:space="preserve">, 311–26. Springer.</w:t>
      </w:r>
    </w:p>
    <w:bookmarkEnd w:id="33"/>
    <w:bookmarkEnd w:id="34"/>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PhD Proposal</dc:title>
  <dc:creator/>
  <cp:keywords/>
  <dcterms:created xsi:type="dcterms:W3CDTF">2025-07-16T12:22:11Z</dcterms:created>
  <dcterms:modified xsi:type="dcterms:W3CDTF">2025-07-16T12:22:11Z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infont">
    <vt:lpwstr>Palatino</vt:lpwstr>
  </property>
  <property fmtid="{D5CDD505-2E9C-101B-9397-08002B2CF9AE}" pid="16" name="manuscript">
    <vt:lpwstr/>
  </property>
  <property fmtid="{D5CDD505-2E9C-101B-9397-08002B2CF9AE}" pid="17" name="notebook-preview-options">
    <vt:lpwstr/>
  </property>
  <property fmtid="{D5CDD505-2E9C-101B-9397-08002B2CF9AE}" pid="18" name="quarto-internal">
    <vt:lpwstr/>
  </property>
  <property fmtid="{D5CDD505-2E9C-101B-9397-08002B2CF9AE}" pid="19" name="remove-hidden">
    <vt:lpwstr>all</vt:lpwstr>
  </property>
  <property fmtid="{D5CDD505-2E9C-101B-9397-08002B2CF9AE}" pid="20" name="sansfont">
    <vt:lpwstr>Palatino</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