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Putting human agency at the forefront in agentic AI for adolescents</w:t>
      </w:r>
    </w:p>
    <w:bookmarkStart w:id="20" w:name="introduction"/>
    <w:p>
      <w:pPr>
        <w:pStyle w:val="Heading2"/>
      </w:pPr>
      <w:r>
        <w:t xml:space="preserve">Introduction</w:t>
      </w:r>
    </w:p>
    <w:p>
      <w:pPr>
        <w:pStyle w:val="FirstParagraph"/>
      </w:pPr>
      <w:r>
        <w:t xml:space="preserve">Over the last decade Artificial Intelligence (AI) has been attributed a</w:t>
      </w:r>
      <w:r>
        <w:t xml:space="preserve"> </w:t>
      </w:r>
      <w:r>
        <w:rPr>
          <w:i/>
          <w:iCs/>
        </w:rPr>
        <w:t xml:space="preserve">sense of agency</w:t>
      </w:r>
      <w:r>
        <w:t xml:space="preserve"> </w:t>
      </w:r>
      <w:r>
        <w:t xml:space="preserve">(SoA)</w:t>
      </w:r>
      <w:r>
        <w:t xml:space="preserve">(Legaspi, He, and Toyoizumi 2019)</w:t>
      </w:r>
      <w:r>
        <w:t xml:space="preserve">. Even more so with the emerging paradigm Agentic AI, which is different to previous forms of AI such as large language models (LLMs), because it can operate (semi-)autonomously and pursue complex goals with little human intervention</w:t>
      </w:r>
      <w:r>
        <w:t xml:space="preserve"> </w:t>
      </w:r>
      <w:r>
        <w:t xml:space="preserve">(Acharya, Kuppan, and Divya 2025)</w:t>
      </w:r>
      <w:r>
        <w:t xml:space="preserve">. This questions the nature of our human future and of our human agency</w:t>
      </w:r>
      <w:r>
        <w:t xml:space="preserve"> </w:t>
      </w:r>
      <w:r>
        <w:t xml:space="preserve">(Anderson and Rainie 2023)</w:t>
      </w:r>
      <w:r>
        <w:t xml:space="preserve">, as systems now also seem to (1) act with (2) intention and a certain kind of (3) reasoning, three aspects often associated with agency</w:t>
      </w:r>
      <w:r>
        <w:t xml:space="preserve"> </w:t>
      </w:r>
      <w:r>
        <w:t xml:space="preserve">(Anscombe 1956; Davidson 1978)</w:t>
      </w:r>
      <w:r>
        <w:t xml:space="preserve">. In</w:t>
      </w:r>
      <w:r>
        <w:t xml:space="preserve"> </w:t>
      </w:r>
      <w:r>
        <w:t xml:space="preserve">Giddens (1984)</w:t>
      </w:r>
      <w:r>
        <w:t xml:space="preserve">’ definition human agency is the capability to</w:t>
      </w:r>
      <w:r>
        <w:t xml:space="preserve"> </w:t>
      </w:r>
      <w:r>
        <w:t xml:space="preserve">“make a difference”</w:t>
      </w:r>
      <w:r>
        <w:t xml:space="preserve">, in other words to have and be able to exercise power over a situation.</w:t>
      </w:r>
    </w:p>
    <w:p>
      <w:pPr>
        <w:pStyle w:val="BodyText"/>
      </w:pPr>
      <w:r>
        <w:t xml:space="preserve">Young people around the globe are growing up in a different digital reality than their parents, where AI is playing a big part. After the</w:t>
      </w:r>
      <w:r>
        <w:t xml:space="preserve"> </w:t>
      </w:r>
      <w:r>
        <w:t xml:space="preserve">“digital natives”</w:t>
      </w:r>
      <w:r>
        <w:t xml:space="preserve"> </w:t>
      </w:r>
      <w:r>
        <w:t xml:space="preserve">of the early 2000’s and the debates for evidence that entailed</w:t>
      </w:r>
      <w:r>
        <w:t xml:space="preserve"> </w:t>
      </w:r>
      <w:r>
        <w:t xml:space="preserve">(Bennett, Maton, and Kervin 2008)</w:t>
      </w:r>
      <w:r>
        <w:t xml:space="preserve">, one could argue that we are moving towards a generation of</w:t>
      </w:r>
      <w:r>
        <w:t xml:space="preserve"> </w:t>
      </w:r>
      <w:r>
        <w:t xml:space="preserve">“AI natives”</w:t>
      </w:r>
      <w:r>
        <w:t xml:space="preserve"> </w:t>
      </w:r>
      <w:r>
        <w:t xml:space="preserve">(Ponce Rojo et al. 2025)</w:t>
      </w:r>
      <w:r>
        <w:t xml:space="preserve">. A new group of adolescents that spend almost 7 hours and 30 minutes online per day</w:t>
      </w:r>
      <w:r>
        <w:t xml:space="preserve"> </w:t>
      </w:r>
      <w:r>
        <w:t xml:space="preserve">(Kemp 2025)</w:t>
      </w:r>
      <w:r>
        <w:t xml:space="preserve">, on platforms where AI is embedded, e.g. in search algorithms, AI answers, or chat functions often signified with</w:t>
      </w:r>
      <w:r>
        <w:t xml:space="preserve"> </w:t>
      </w:r>
      <w:r>
        <w:t xml:space="preserve">“AI”</w:t>
      </w:r>
      <w:r>
        <w:t xml:space="preserve"> </w:t>
      </w:r>
      <w:r>
        <w:t xml:space="preserve">or ✨.</w:t>
      </w:r>
    </w:p>
    <w:p>
      <w:pPr>
        <w:pStyle w:val="BodyText"/>
      </w:pPr>
      <w:r>
        <w:t xml:space="preserve">If Human-like AI (HLAI) or autonomous Artificial General Intelligence is really in the near future, like some believe</w:t>
      </w:r>
      <w:r>
        <w:t xml:space="preserve"> </w:t>
      </w:r>
      <w:r>
        <w:t xml:space="preserve">(Voss and Jovanovic 2023; Qureshi et al. 2025)</w:t>
      </w:r>
      <w:r>
        <w:t xml:space="preserve">, this could have a profound impact on the way our economy is structured and what kind of work is performed by humans and what is performed solely by machines. The already great concentration in economic and political power by technologists is expected to only increase if we focus on replacing human labour by automating tasks instead of augmenting human labour with AI, leading to a situation where those</w:t>
      </w:r>
      <w:r>
        <w:t xml:space="preserve"> </w:t>
      </w:r>
      <w:r>
        <w:t xml:space="preserve">“without power have no way to improve their outcomes”</w:t>
      </w:r>
      <w:r>
        <w:t xml:space="preserve">, what</w:t>
      </w:r>
      <w:r>
        <w:t xml:space="preserve"> </w:t>
      </w:r>
      <w:r>
        <w:t xml:space="preserve">Brynjolfsson (2022)</w:t>
      </w:r>
      <w:r>
        <w:t xml:space="preserve"> </w:t>
      </w:r>
      <w:r>
        <w:t xml:space="preserve">calls the</w:t>
      </w:r>
      <w:r>
        <w:t xml:space="preserve"> </w:t>
      </w:r>
      <w:r>
        <w:rPr>
          <w:i/>
          <w:iCs/>
        </w:rPr>
        <w:t xml:space="preserve">Turing Trap</w:t>
      </w:r>
      <w:r>
        <w:t xml:space="preserve">.</w:t>
      </w:r>
    </w:p>
    <w:p>
      <w:pPr>
        <w:pStyle w:val="BodyText"/>
      </w:pPr>
      <w:r>
        <w:t xml:space="preserve">A situation where power concentrates among the lucky few that are already econonomically and politically powerful and have influence on how HLAI can be deployed is very unlikely to yield larger autonomy, freedom and agency for the majority with marginal ecomonic and political power.</w:t>
      </w:r>
    </w:p>
    <w:p>
      <w:pPr>
        <w:pStyle w:val="BodyText"/>
      </w:pPr>
      <w:r>
        <w:t xml:space="preserve">How then do we avoid the Turing Trap for our young people, who form half of the world’s population</w:t>
      </w:r>
      <w:r>
        <w:t xml:space="preserve"> </w:t>
      </w:r>
      <w:r>
        <w:t xml:space="preserve">(United Nations 2024)</w:t>
      </w:r>
      <w:r>
        <w:t xml:space="preserve">, and increase their capability to</w:t>
      </w:r>
      <w:r>
        <w:t xml:space="preserve"> </w:t>
      </w:r>
      <w:r>
        <w:t xml:space="preserve">“make a difference”</w:t>
      </w:r>
      <w:r>
        <w:t xml:space="preserve">?</w:t>
      </w:r>
    </w:p>
    <w:bookmarkEnd w:id="20"/>
    <w:bookmarkStart w:id="21" w:name="gap"/>
    <w:p>
      <w:pPr>
        <w:pStyle w:val="Heading2"/>
      </w:pPr>
      <w:r>
        <w:t xml:space="preserve">Gap</w:t>
      </w:r>
    </w:p>
    <w:p>
      <w:pPr>
        <w:pStyle w:val="FirstParagraph"/>
      </w:pPr>
      <w:r>
        <w:t xml:space="preserve">In the course of history, human development has been argued to increase where agency and liberty increase</w:t>
      </w:r>
      <w:r>
        <w:t xml:space="preserve"> </w:t>
      </w:r>
      <w:r>
        <w:t xml:space="preserve">(Prados de la Escosura 2022; Sen 1999)</w:t>
      </w:r>
      <w:r>
        <w:t xml:space="preserve">. Agentic AI and AI goals in general, largely seem to focus on increasing abilities for models or replacing tedious tasks performed by humans. While research has been done about future projections of human agency in conjunction with AI in decision making</w:t>
      </w:r>
      <w:r>
        <w:t xml:space="preserve"> </w:t>
      </w:r>
      <w:r>
        <w:t xml:space="preserve">(Pew Research Center, Anderson, and Rainie 2023)</w:t>
      </w:r>
      <w:r>
        <w:t xml:space="preserve"> </w:t>
      </w:r>
      <w:r>
        <w:t xml:space="preserve">and in education</w:t>
      </w:r>
      <w:r>
        <w:t xml:space="preserve"> </w:t>
      </w:r>
      <w:r>
        <w:t xml:space="preserve">(Mouta, Pinto-Llorente, and Torrecilla-Sánchez 2025)</w:t>
      </w:r>
      <w:r>
        <w:t xml:space="preserve"> </w:t>
      </w:r>
      <w:r>
        <w:t xml:space="preserve">it does not deal with how to increase human agency for humans now.</w:t>
      </w:r>
    </w:p>
    <w:p>
      <w:pPr>
        <w:pStyle w:val="BodyText"/>
      </w:pPr>
      <w:r>
        <w:t xml:space="preserve">One area of study related to increasing human agency surrounding AI is</w:t>
      </w:r>
      <w:r>
        <w:t xml:space="preserve"> </w:t>
      </w:r>
      <w:r>
        <w:rPr>
          <w:i/>
          <w:iCs/>
        </w:rPr>
        <w:t xml:space="preserve">AI Literacies</w:t>
      </w:r>
      <w:r>
        <w:t xml:space="preserve">. Learning about AI systems explains how they perform, this demystifies and increases people’s insight in these systems</w:t>
      </w:r>
      <w:r>
        <w:t xml:space="preserve"> </w:t>
      </w:r>
      <w:r>
        <w:t xml:space="preserve">(Pinski and Benlian 2024)</w:t>
      </w:r>
      <w:r>
        <w:t xml:space="preserve"> </w:t>
      </w:r>
      <w:r>
        <w:t xml:space="preserve">which helps to reduce anthropomorphism</w:t>
      </w:r>
      <w:r>
        <w:t xml:space="preserve"> </w:t>
      </w:r>
      <w:r>
        <w:t xml:space="preserve">(Druga and Ko 2021)</w:t>
      </w:r>
      <w:r>
        <w:t xml:space="preserve">. Anthropomorphism is one of the things that can lead to false perceptions and misunderstanding of AI abilities</w:t>
      </w:r>
      <w:r>
        <w:t xml:space="preserve">(Barrow 2024)</w:t>
      </w:r>
      <w:r>
        <w:t xml:space="preserve">.</w:t>
      </w:r>
    </w:p>
    <w:bookmarkEnd w:id="21"/>
    <w:bookmarkStart w:id="22" w:name="hook"/>
    <w:p>
      <w:pPr>
        <w:pStyle w:val="Heading2"/>
      </w:pPr>
      <w:r>
        <w:t xml:space="preserve">Hook</w:t>
      </w:r>
    </w:p>
    <w:p>
      <w:pPr>
        <w:pStyle w:val="FirstParagraph"/>
      </w:pPr>
      <w:r>
        <w:rPr>
          <w:i/>
          <w:iCs/>
        </w:rPr>
        <w:t xml:space="preserve">“Technological development has invested the powers that be with</w:t>
      </w:r>
      <w:r>
        <w:rPr>
          <w:i/>
          <w:iCs/>
        </w:rPr>
        <w:t xml:space="preserve"> </w:t>
      </w:r>
      <w:r>
        <w:rPr>
          <w:i/>
          <w:iCs/>
        </w:rPr>
        <w:t xml:space="preserve">not only more efficient, better and more deadly instruments of coercion but with the instruments of persuasion decidedly more efficient than those hitherto used by the political bosses..”</w:t>
      </w:r>
      <w:r>
        <w:t xml:space="preserve"> </w:t>
      </w:r>
      <w:r>
        <w:t xml:space="preserve">-</w:t>
      </w:r>
      <w:r>
        <w:t xml:space="preserve"> </w:t>
      </w:r>
      <w:r>
        <w:t xml:space="preserve">(Mathur, n.d.)</w:t>
      </w:r>
    </w:p>
    <w:p>
      <w:pPr>
        <w:pStyle w:val="BodyText"/>
      </w:pPr>
      <w:r>
        <w:t xml:space="preserve">If we want to create circumstances for technology where humans can thrive we need to be able to accept a pluralistic view of technology. As technology is never just neutral nor is it inherently good or bad</w:t>
      </w:r>
      <w:r>
        <w:t xml:space="preserve"> </w:t>
      </w:r>
      <w:r>
        <w:t xml:space="preserve">(Morrow 2014; Heyndels 2023)</w:t>
      </w:r>
      <w:r>
        <w:t xml:space="preserve">. Regulation and policy fueled by ideology (both benefiting the few or the many) has been the driver for the direction this advancement would take us</w:t>
      </w:r>
      <w:r>
        <w:t xml:space="preserve"> </w:t>
      </w:r>
      <w:r>
        <w:t xml:space="preserve">(Johnson and Acemoglu 2023, 57)</w:t>
      </w:r>
      <w:r>
        <w:t xml:space="preserve">.</w:t>
      </w:r>
    </w:p>
    <w:bookmarkEnd w:id="22"/>
    <w:bookmarkStart w:id="24" w:name="research-questions"/>
    <w:p>
      <w:pPr>
        <w:pStyle w:val="Heading2"/>
      </w:pPr>
      <w:r>
        <w:t xml:space="preserve">Research Questions</w:t>
      </w:r>
    </w:p>
    <w:p>
      <w:pPr>
        <w:pStyle w:val="FirstParagraph"/>
      </w:pPr>
      <w:r>
        <w:t xml:space="preserve">How can adolescents achieve increased human agency and freedom in a world with agentic AI?</w:t>
      </w:r>
    </w:p>
    <w:bookmarkStart w:id="23" w:name="sub-questions"/>
    <w:p>
      <w:pPr>
        <w:pStyle w:val="Heading3"/>
      </w:pPr>
      <w:r>
        <w:t xml:space="preserve">Sub-questions</w:t>
      </w:r>
    </w:p>
    <w:p>
      <w:pPr>
        <w:pStyle w:val="Compact"/>
        <w:numPr>
          <w:ilvl w:val="0"/>
          <w:numId w:val="1001"/>
        </w:numPr>
      </w:pPr>
      <w:r>
        <w:t xml:space="preserve">How are students interacting with agentic AI or GenAI?</w:t>
      </w:r>
    </w:p>
    <w:p>
      <w:pPr>
        <w:pStyle w:val="Compact"/>
        <w:numPr>
          <w:ilvl w:val="0"/>
          <w:numId w:val="1001"/>
        </w:numPr>
      </w:pPr>
      <w:r>
        <w:t xml:space="preserve">How is AI affecting the execution of day-to-day tasks (e.g. study, work, household chores)?</w:t>
      </w:r>
    </w:p>
    <w:p>
      <w:pPr>
        <w:pStyle w:val="Compact"/>
        <w:numPr>
          <w:ilvl w:val="0"/>
          <w:numId w:val="1001"/>
        </w:numPr>
      </w:pPr>
      <w:r>
        <w:t xml:space="preserve">How do adolescents rate their sense of agency?</w:t>
      </w:r>
    </w:p>
    <w:p>
      <w:pPr>
        <w:pStyle w:val="Compact"/>
        <w:numPr>
          <w:ilvl w:val="0"/>
          <w:numId w:val="1001"/>
        </w:numPr>
      </w:pPr>
      <w:r>
        <w:t xml:space="preserve">What beliefs do adolescents have about AI and its capabilities in relation to their own capabilities?</w:t>
      </w:r>
    </w:p>
    <w:p>
      <w:pPr>
        <w:pStyle w:val="Compact"/>
        <w:numPr>
          <w:ilvl w:val="0"/>
          <w:numId w:val="1001"/>
        </w:numPr>
      </w:pPr>
      <w:r>
        <w:t xml:space="preserve">In what ways are AI Literacies affecting these beliefs?</w:t>
      </w:r>
    </w:p>
    <w:p>
      <w:pPr>
        <w:pStyle w:val="Compact"/>
        <w:numPr>
          <w:ilvl w:val="0"/>
          <w:numId w:val="1001"/>
        </w:numPr>
      </w:pPr>
      <w:r>
        <w:t xml:space="preserve">How do adolescents discern hype from reality?</w:t>
      </w:r>
    </w:p>
    <w:p>
      <w:pPr>
        <w:pStyle w:val="Compact"/>
        <w:numPr>
          <w:ilvl w:val="0"/>
          <w:numId w:val="1001"/>
        </w:numPr>
      </w:pPr>
      <w:r>
        <w:t xml:space="preserve">In what ways can understanding of these phenomena enhance their freedom of choice?</w:t>
      </w:r>
    </w:p>
    <w:bookmarkEnd w:id="23"/>
    <w:bookmarkEnd w:id="24"/>
    <w:bookmarkStart w:id="29" w:name="theoretical-framework"/>
    <w:p>
      <w:pPr>
        <w:pStyle w:val="Heading2"/>
      </w:pPr>
      <w:r>
        <w:t xml:space="preserve">Theoretical Framework</w:t>
      </w:r>
    </w:p>
    <w:p>
      <w:pPr>
        <w:pStyle w:val="FirstParagraph"/>
      </w:pPr>
      <w:r>
        <w:t xml:space="preserve">Habermas (1971)</w:t>
      </w:r>
      <w:r>
        <w:t xml:space="preserve"> </w:t>
      </w:r>
      <w:r>
        <w:t xml:space="preserve">describes the rationaliy of technology as ideological. The ideology that technological progress is inevitable and oppressive is in direct opposition to the hegemony of Silicon Valley that believes in Innovation at all costs, which</w:t>
      </w:r>
      <w:r>
        <w:t xml:space="preserve"> </w:t>
      </w:r>
      <w:r>
        <w:t xml:space="preserve">Winner (2018)</w:t>
      </w:r>
      <w:r>
        <w:t xml:space="preserve"> </w:t>
      </w:r>
      <w:r>
        <w:t xml:space="preserve">calls</w:t>
      </w:r>
      <w:r>
        <w:t xml:space="preserve"> </w:t>
      </w:r>
      <w:r>
        <w:t xml:space="preserve">“Cult of Innovation”</w:t>
      </w:r>
      <w:r>
        <w:t xml:space="preserve">. Resulting in an almost religious approach to AI and AGI among others</w:t>
      </w:r>
      <w:r>
        <w:t xml:space="preserve"> </w:t>
      </w:r>
      <w:r>
        <w:t xml:space="preserve">(Epstein 2024)</w:t>
      </w:r>
      <w:r>
        <w:t xml:space="preserve">.</w:t>
      </w:r>
    </w:p>
    <w:p>
      <w:pPr>
        <w:pStyle w:val="BodyText"/>
      </w:pPr>
      <w:r>
        <w:t xml:space="preserve">Hegelian</w:t>
      </w:r>
      <w:r>
        <w:t xml:space="preserve"> </w:t>
      </w:r>
      <w:r>
        <w:rPr>
          <w:i/>
          <w:iCs/>
        </w:rPr>
        <w:t xml:space="preserve">Rationality</w:t>
      </w:r>
      <w:r>
        <w:t xml:space="preserve"> </w:t>
      </w:r>
      <w:r>
        <w:t xml:space="preserve">should leads towards freedom and cannot be seen separate from the societal boundaries [</w:t>
      </w:r>
      <w:r>
        <w:t xml:space="preserve">Pippin (2008)</w:t>
      </w:r>
      <w:r>
        <w:t xml:space="preserve"> </w:t>
      </w:r>
      <w:r>
        <w:t xml:space="preserve">p. 122;], where there might be roles one fits instead of actually performing an action by one’s own beliefss.</w:t>
      </w:r>
      <w:r>
        <w:t xml:space="preserve"> </w:t>
      </w:r>
      <w:r>
        <w:t xml:space="preserve">The concepts of agency put forward by</w:t>
      </w:r>
      <w:r>
        <w:t xml:space="preserve"> </w:t>
      </w:r>
      <w:r>
        <w:t xml:space="preserve">Giddens (1984)</w:t>
      </w:r>
      <w:r>
        <w:t xml:space="preserve"> </w:t>
      </w:r>
      <w:r>
        <w:t xml:space="preserve">and</w:t>
      </w:r>
      <w:r>
        <w:t xml:space="preserve"> </w:t>
      </w:r>
      <w:r>
        <w:t xml:space="preserve">Bandura (2001)</w:t>
      </w:r>
      <w:r>
        <w:t xml:space="preserve"> </w:t>
      </w:r>
      <w:r>
        <w:t xml:space="preserve">emphasise different dimensions. Where Giddens focuses on the social structure,</w:t>
      </w:r>
      <w:r>
        <w:t xml:space="preserve"> </w:t>
      </w:r>
      <w:r>
        <w:t xml:space="preserve">“making a difference”</w:t>
      </w:r>
      <w:r>
        <w:t xml:space="preserve">, Bandura focuses on aspects that make up individual agency,</w:t>
      </w:r>
      <w:r>
        <w:t xml:space="preserve"> </w:t>
      </w:r>
      <w:r>
        <w:rPr>
          <w:i/>
          <w:iCs/>
        </w:rPr>
        <w:t xml:space="preserve">intentionality, forethought, self-reactiveness and self-reflectiveness</w:t>
      </w:r>
      <w:r>
        <w:t xml:space="preserve">.</w:t>
      </w:r>
    </w:p>
    <w:p>
      <w:pPr>
        <w:pStyle w:val="BodyText"/>
      </w:pPr>
      <w:r>
        <w:t xml:space="preserve">Sense of Agency in relation to Agentic AI or AI in general, is under pressure from societal beliefs and expectations that we have that technology will fullfill.</w:t>
      </w:r>
    </w:p>
    <w:p>
      <w:pPr>
        <w:pStyle w:val="BodyText"/>
      </w:pPr>
    </w:p>
    <w:p>
      <w:pPr>
        <w:pStyle w:val="BodyText"/>
      </w:pPr>
      <w:r>
        <w:drawing>
          <wp:inline>
            <wp:extent cx="5334000" cy="3856789"/>
            <wp:effectExtent b="0" l="0" r="0" t="0"/>
            <wp:docPr descr="" title="" id="26" name="Picture"/>
            <a:graphic>
              <a:graphicData uri="http://schemas.openxmlformats.org/drawingml/2006/picture">
                <pic:pic>
                  <pic:nvPicPr>
                    <pic:cNvPr descr="proposal-2026-03_files/figure-docx/mermaid-figure-1.png" id="27" name="Picture"/>
                    <pic:cNvPicPr>
                      <a:picLocks noChangeArrowheads="1" noChangeAspect="1"/>
                    </pic:cNvPicPr>
                  </pic:nvPicPr>
                  <pic:blipFill>
                    <a:blip r:embed="rId25"/>
                    <a:stretch>
                      <a:fillRect/>
                    </a:stretch>
                  </pic:blipFill>
                  <pic:spPr bwMode="auto">
                    <a:xfrm>
                      <a:off x="0" y="0"/>
                      <a:ext cx="5334000" cy="3856789"/>
                    </a:xfrm>
                    <a:prstGeom prst="rect">
                      <a:avLst/>
                    </a:prstGeom>
                    <a:noFill/>
                    <a:ln w="9525">
                      <a:noFill/>
                      <a:headEnd/>
                      <a:tailEnd/>
                    </a:ln>
                  </pic:spPr>
                </pic:pic>
              </a:graphicData>
            </a:graphic>
          </wp:inline>
        </w:drawing>
      </w:r>
    </w:p>
    <w:p>
      <w:pPr>
        <w:pStyle w:val="BodyText"/>
      </w:pPr>
    </w:p>
    <w:p>
      <w:pPr>
        <w:pStyle w:val="BodyText"/>
      </w:pPr>
      <w:r>
        <w:rPr>
          <w:vertAlign w:val="subscript"/>
        </w:rPr>
        <w:t xml:space="preserve">Source:</w:t>
      </w:r>
      <w:r>
        <w:rPr>
          <w:vertAlign w:val="subscript"/>
        </w:rPr>
        <w:t xml:space="preserve"> </w:t>
      </w:r>
      <w:hyperlink r:id="rId28">
        <w:r>
          <w:rPr>
            <w:rStyle w:val="Hyperlink"/>
            <w:vertAlign w:val="subscript"/>
          </w:rPr>
          <w:t xml:space="preserve">Article Notebook</w:t>
        </w:r>
      </w:hyperlink>
    </w:p>
    <w:bookmarkEnd w:id="29"/>
    <w:bookmarkStart w:id="75" w:name="references"/>
    <w:p>
      <w:pPr>
        <w:pStyle w:val="Heading2"/>
      </w:pPr>
      <w:r>
        <w:t xml:space="preserve">References</w:t>
      </w:r>
    </w:p>
    <w:bookmarkStart w:id="74" w:name="refs"/>
    <w:bookmarkStart w:id="31" w:name="ref-acharyaAgentic2025"/>
    <w:p>
      <w:pPr>
        <w:pStyle w:val="Bibliography"/>
      </w:pPr>
      <w:r>
        <w:t xml:space="preserve">Acharya, Deepak Bhaskar, Karthigeyan Kuppan, and B. Divya. 2025.</w:t>
      </w:r>
      <w:r>
        <w:t xml:space="preserve"> </w:t>
      </w:r>
      <w:r>
        <w:t xml:space="preserve">“Agentic</w:t>
      </w:r>
      <w:r>
        <w:t xml:space="preserve"> </w:t>
      </w:r>
      <w:r>
        <w:t xml:space="preserve">AI</w:t>
      </w:r>
      <w:r>
        <w:t xml:space="preserve">:</w:t>
      </w:r>
      <w:r>
        <w:t xml:space="preserve"> </w:t>
      </w:r>
      <w:r>
        <w:t xml:space="preserve">Autonomous</w:t>
      </w:r>
      <w:r>
        <w:t xml:space="preserve"> </w:t>
      </w:r>
      <w:r>
        <w:t xml:space="preserve">Intelligence for Complex Goals—a Comprehensive Survey.”</w:t>
      </w:r>
      <w:r>
        <w:t xml:space="preserve"> </w:t>
      </w:r>
      <w:r>
        <w:rPr>
          <w:i/>
          <w:iCs/>
        </w:rPr>
        <w:t xml:space="preserve">IEEE Access : Practical Innovations, Open Solutions</w:t>
      </w:r>
      <w:r>
        <w:t xml:space="preserve"> </w:t>
      </w:r>
      <w:r>
        <w:t xml:space="preserve">13: 18912–36.</w:t>
      </w:r>
      <w:r>
        <w:t xml:space="preserve"> </w:t>
      </w:r>
      <w:hyperlink r:id="rId30">
        <w:r>
          <w:rPr>
            <w:rStyle w:val="Hyperlink"/>
          </w:rPr>
          <w:t xml:space="preserve">https://doi.org/10.1109/ACCESS.2025.3532853</w:t>
        </w:r>
      </w:hyperlink>
      <w:r>
        <w:t xml:space="preserve">.</w:t>
      </w:r>
    </w:p>
    <w:bookmarkEnd w:id="31"/>
    <w:bookmarkStart w:id="32" w:name="ref-andersonFutureHumanAgency2023"/>
    <w:p>
      <w:pPr>
        <w:pStyle w:val="Bibliography"/>
      </w:pPr>
      <w:r>
        <w:t xml:space="preserve">Anderson, Janna, and Lee Rainie. 2023.</w:t>
      </w:r>
      <w:r>
        <w:t xml:space="preserve"> </w:t>
      </w:r>
      <w:r>
        <w:t xml:space="preserve">“The</w:t>
      </w:r>
      <w:r>
        <w:t xml:space="preserve"> </w:t>
      </w:r>
      <w:r>
        <w:t xml:space="preserve">Future</w:t>
      </w:r>
      <w:r>
        <w:t xml:space="preserve"> </w:t>
      </w:r>
      <w:r>
        <w:t xml:space="preserve">of</w:t>
      </w:r>
      <w:r>
        <w:t xml:space="preserve"> </w:t>
      </w:r>
      <w:r>
        <w:t xml:space="preserve">Human Agency</w:t>
      </w:r>
      <w:r>
        <w:t xml:space="preserve">.”</w:t>
      </w:r>
      <w:r>
        <w:t xml:space="preserve"> </w:t>
      </w:r>
      <w:r>
        <w:rPr>
          <w:i/>
          <w:iCs/>
        </w:rPr>
        <w:t xml:space="preserve">Pew Research Center</w:t>
      </w:r>
      <w:r>
        <w:t xml:space="preserve">.</w:t>
      </w:r>
    </w:p>
    <w:bookmarkEnd w:id="32"/>
    <w:bookmarkStart w:id="33" w:name="ref-anscombe1956intention"/>
    <w:p>
      <w:pPr>
        <w:pStyle w:val="Bibliography"/>
      </w:pPr>
      <w:r>
        <w:t xml:space="preserve">Anscombe, Gertrude Elizabeth Margaret. 1956.</w:t>
      </w:r>
      <w:r>
        <w:t xml:space="preserve"> </w:t>
      </w:r>
      <w:r>
        <w:t xml:space="preserve">“Intention.”</w:t>
      </w:r>
      <w:r>
        <w:t xml:space="preserve"> </w:t>
      </w:r>
      <w:r>
        <w:t xml:space="preserve">In</w:t>
      </w:r>
      <w:r>
        <w:t xml:space="preserve"> </w:t>
      </w:r>
      <w:r>
        <w:rPr>
          <w:i/>
          <w:iCs/>
        </w:rPr>
        <w:t xml:space="preserve">Proceedings of the Aristotelian Society</w:t>
      </w:r>
      <w:r>
        <w:t xml:space="preserve">, 57:321–32. JSTOR.</w:t>
      </w:r>
    </w:p>
    <w:bookmarkEnd w:id="33"/>
    <w:bookmarkStart w:id="34" w:name="ref-bandura2001social"/>
    <w:p>
      <w:pPr>
        <w:pStyle w:val="Bibliography"/>
      </w:pPr>
      <w:r>
        <w:t xml:space="preserve">Bandura, Albert. 2001.</w:t>
      </w:r>
      <w:r>
        <w:t xml:space="preserve"> </w:t>
      </w:r>
      <w:r>
        <w:t xml:space="preserve">“Social Cognitive Theory:</w:t>
      </w:r>
      <w:r>
        <w:t xml:space="preserve"> </w:t>
      </w:r>
      <w:r>
        <w:t xml:space="preserve">An</w:t>
      </w:r>
      <w:r>
        <w:t xml:space="preserve"> </w:t>
      </w:r>
      <w:r>
        <w:t xml:space="preserve">Agentic Perspective.”</w:t>
      </w:r>
      <w:r>
        <w:t xml:space="preserve"> </w:t>
      </w:r>
      <w:r>
        <w:rPr>
          <w:i/>
          <w:iCs/>
        </w:rPr>
        <w:t xml:space="preserve">Annual Review of Psychology</w:t>
      </w:r>
      <w:r>
        <w:t xml:space="preserve"> </w:t>
      </w:r>
      <w:r>
        <w:t xml:space="preserve">52 (1): 1–26.</w:t>
      </w:r>
    </w:p>
    <w:bookmarkEnd w:id="34"/>
    <w:bookmarkStart w:id="36" w:name="ref-barrowAnthropomorphismAIHype2024"/>
    <w:p>
      <w:pPr>
        <w:pStyle w:val="Bibliography"/>
      </w:pPr>
      <w:r>
        <w:t xml:space="preserve">Barrow, Nicholas. 2024.</w:t>
      </w:r>
      <w:r>
        <w:t xml:space="preserve"> </w:t>
      </w:r>
      <w:r>
        <w:t xml:space="preserve">“Anthropomorphism and</w:t>
      </w:r>
      <w:r>
        <w:t xml:space="preserve"> </w:t>
      </w:r>
      <w:r>
        <w:t xml:space="preserve">AI</w:t>
      </w:r>
      <w:r>
        <w:t xml:space="preserve"> </w:t>
      </w:r>
      <w:r>
        <w:t xml:space="preserve">Hype.”</w:t>
      </w:r>
      <w:r>
        <w:t xml:space="preserve"> </w:t>
      </w:r>
      <w:r>
        <w:rPr>
          <w:i/>
          <w:iCs/>
        </w:rPr>
        <w:t xml:space="preserve">AI and Ethics</w:t>
      </w:r>
      <w:r>
        <w:t xml:space="preserve"> </w:t>
      </w:r>
      <w:r>
        <w:t xml:space="preserve">4 (3): 707–11.</w:t>
      </w:r>
      <w:r>
        <w:t xml:space="preserve"> </w:t>
      </w:r>
      <w:hyperlink r:id="rId35">
        <w:r>
          <w:rPr>
            <w:rStyle w:val="Hyperlink"/>
          </w:rPr>
          <w:t xml:space="preserve">https://doi.org/10.1007/s43681-024-00454-1</w:t>
        </w:r>
      </w:hyperlink>
      <w:r>
        <w:t xml:space="preserve">.</w:t>
      </w:r>
    </w:p>
    <w:bookmarkEnd w:id="36"/>
    <w:bookmarkStart w:id="38" w:name="ref-bennettDigitalNativesDebate2008"/>
    <w:p>
      <w:pPr>
        <w:pStyle w:val="Bibliography"/>
      </w:pPr>
      <w:r>
        <w:t xml:space="preserve">Bennett, Sue, Karl Maton, and Lisa Kervin. 2008.</w:t>
      </w:r>
      <w:r>
        <w:t xml:space="preserve"> </w:t>
      </w:r>
      <w:r>
        <w:t xml:space="preserve">“The</w:t>
      </w:r>
      <w:r>
        <w:t xml:space="preserve"> </w:t>
      </w:r>
      <w:r>
        <w:t xml:space="preserve">‘Digital Natives’</w:t>
      </w:r>
      <w:r>
        <w:t xml:space="preserve"> </w:t>
      </w:r>
      <w:r>
        <w:t xml:space="preserve">Debate:</w:t>
      </w:r>
      <w:r>
        <w:t xml:space="preserve"> </w:t>
      </w:r>
      <w:r>
        <w:t xml:space="preserve">A</w:t>
      </w:r>
      <w:r>
        <w:t xml:space="preserve"> </w:t>
      </w:r>
      <w:r>
        <w:t xml:space="preserve">Critical Review of the Evidence.”</w:t>
      </w:r>
      <w:r>
        <w:t xml:space="preserve"> </w:t>
      </w:r>
      <w:r>
        <w:rPr>
          <w:i/>
          <w:iCs/>
        </w:rPr>
        <w:t xml:space="preserve">British Journal of Educational Technology</w:t>
      </w:r>
      <w:r>
        <w:t xml:space="preserve"> </w:t>
      </w:r>
      <w:r>
        <w:t xml:space="preserve">39 (5): 775–86.</w:t>
      </w:r>
      <w:r>
        <w:t xml:space="preserve"> </w:t>
      </w:r>
      <w:hyperlink r:id="rId37">
        <w:r>
          <w:rPr>
            <w:rStyle w:val="Hyperlink"/>
          </w:rPr>
          <w:t xml:space="preserve">https://doi.org/10.1111/j.1467-8535.2007.00793.x</w:t>
        </w:r>
      </w:hyperlink>
      <w:r>
        <w:t xml:space="preserve">.</w:t>
      </w:r>
    </w:p>
    <w:bookmarkEnd w:id="38"/>
    <w:bookmarkStart w:id="40" w:name="ref-brynjolfssonTuringTrapPromise2022"/>
    <w:p>
      <w:pPr>
        <w:pStyle w:val="Bibliography"/>
      </w:pPr>
      <w:r>
        <w:t xml:space="preserve">Brynjolfsson, Erik. 2022.</w:t>
      </w:r>
      <w:r>
        <w:t xml:space="preserve"> </w:t>
      </w:r>
      <w:r>
        <w:t xml:space="preserve">“The</w:t>
      </w:r>
      <w:r>
        <w:t xml:space="preserve"> </w:t>
      </w:r>
      <w:r>
        <w:t xml:space="preserve">Turing Trap</w:t>
      </w:r>
      <w:r>
        <w:t xml:space="preserve">:</w:t>
      </w:r>
      <w:r>
        <w:t xml:space="preserve"> </w:t>
      </w:r>
      <w:r>
        <w:t xml:space="preserve">The Promise</w:t>
      </w:r>
      <w:r>
        <w:t xml:space="preserve"> </w:t>
      </w:r>
      <w:r>
        <w:t xml:space="preserve">&amp;</w:t>
      </w:r>
      <w:r>
        <w:t xml:space="preserve"> </w:t>
      </w:r>
      <w:r>
        <w:t xml:space="preserve">Peril</w:t>
      </w:r>
      <w:r>
        <w:t xml:space="preserve"> </w:t>
      </w:r>
      <w:r>
        <w:t xml:space="preserve">of</w:t>
      </w:r>
      <w:r>
        <w:t xml:space="preserve"> </w:t>
      </w:r>
      <w:r>
        <w:t xml:space="preserve">Human-Like Artificial Intelligence</w:t>
      </w:r>
      <w:r>
        <w:t xml:space="preserve">.”</w:t>
      </w:r>
      <w:r>
        <w:t xml:space="preserve"> </w:t>
      </w:r>
      <w:r>
        <w:rPr>
          <w:i/>
          <w:iCs/>
        </w:rPr>
        <w:t xml:space="preserve">Daedalus</w:t>
      </w:r>
      <w:r>
        <w:t xml:space="preserve"> </w:t>
      </w:r>
      <w:r>
        <w:t xml:space="preserve">151 (2): 272–87.</w:t>
      </w:r>
      <w:r>
        <w:t xml:space="preserve"> </w:t>
      </w:r>
      <w:hyperlink r:id="rId39">
        <w:r>
          <w:rPr>
            <w:rStyle w:val="Hyperlink"/>
          </w:rPr>
          <w:t xml:space="preserve">https://doi.org/10.1162/daed_a_01915</w:t>
        </w:r>
      </w:hyperlink>
      <w:r>
        <w:t xml:space="preserve">.</w:t>
      </w:r>
    </w:p>
    <w:bookmarkEnd w:id="40"/>
    <w:bookmarkStart w:id="42" w:name="ref-davidsonIntending1978"/>
    <w:p>
      <w:pPr>
        <w:pStyle w:val="Bibliography"/>
      </w:pPr>
      <w:r>
        <w:t xml:space="preserve">Davidson, Donald. 1978.</w:t>
      </w:r>
      <w:r>
        <w:t xml:space="preserve"> </w:t>
      </w:r>
      <w:r>
        <w:t xml:space="preserve">“Intending.”</w:t>
      </w:r>
      <w:r>
        <w:t xml:space="preserve"> </w:t>
      </w:r>
      <w:r>
        <w:t xml:space="preserve">In</w:t>
      </w:r>
      <w:r>
        <w:t xml:space="preserve"> </w:t>
      </w:r>
      <w:r>
        <w:rPr>
          <w:i/>
          <w:iCs/>
        </w:rPr>
        <w:t xml:space="preserve">Philosophy of</w:t>
      </w:r>
      <w:r>
        <w:rPr>
          <w:i/>
          <w:iCs/>
        </w:rPr>
        <w:t xml:space="preserve"> </w:t>
      </w:r>
      <w:r>
        <w:rPr>
          <w:i/>
          <w:iCs/>
        </w:rPr>
        <w:t xml:space="preserve">History</w:t>
      </w:r>
      <w:r>
        <w:rPr>
          <w:i/>
          <w:iCs/>
        </w:rPr>
        <w:t xml:space="preserve"> </w:t>
      </w:r>
      <w:r>
        <w:rPr>
          <w:i/>
          <w:iCs/>
        </w:rPr>
        <w:t xml:space="preserve">and</w:t>
      </w:r>
      <w:r>
        <w:rPr>
          <w:i/>
          <w:iCs/>
        </w:rPr>
        <w:t xml:space="preserve"> </w:t>
      </w:r>
      <w:r>
        <w:rPr>
          <w:i/>
          <w:iCs/>
        </w:rPr>
        <w:t xml:space="preserve">Action</w:t>
      </w:r>
      <w:r>
        <w:rPr>
          <w:i/>
          <w:iCs/>
        </w:rPr>
        <w:t xml:space="preserve">:</w:t>
      </w:r>
      <w:r>
        <w:rPr>
          <w:i/>
          <w:iCs/>
        </w:rPr>
        <w:t xml:space="preserve"> </w:t>
      </w:r>
      <w:r>
        <w:rPr>
          <w:i/>
          <w:iCs/>
        </w:rPr>
        <w:t xml:space="preserve">Papers Presented</w:t>
      </w:r>
      <w:r>
        <w:rPr>
          <w:i/>
          <w:iCs/>
        </w:rPr>
        <w:t xml:space="preserve"> </w:t>
      </w:r>
      <w:r>
        <w:rPr>
          <w:i/>
          <w:iCs/>
        </w:rPr>
        <w:t xml:space="preserve">at the</w:t>
      </w:r>
      <w:r>
        <w:rPr>
          <w:i/>
          <w:iCs/>
        </w:rPr>
        <w:t xml:space="preserve"> </w:t>
      </w:r>
      <w:r>
        <w:rPr>
          <w:i/>
          <w:iCs/>
        </w:rPr>
        <w:t xml:space="preserve">First Jerusalem Philosophical Encounter December</w:t>
      </w:r>
      <w:r>
        <w:rPr>
          <w:i/>
          <w:iCs/>
        </w:rPr>
        <w:t xml:space="preserve"> </w:t>
      </w:r>
      <w:r>
        <w:rPr>
          <w:i/>
          <w:iCs/>
        </w:rPr>
        <w:t xml:space="preserve">1974</w:t>
      </w:r>
      <w:r>
        <w:t xml:space="preserve">, edited by Yirmiahu Yovel, 41–60. Dordrecht: Springer Netherlands.</w:t>
      </w:r>
      <w:r>
        <w:t xml:space="preserve"> </w:t>
      </w:r>
      <w:hyperlink r:id="rId41">
        <w:r>
          <w:rPr>
            <w:rStyle w:val="Hyperlink"/>
          </w:rPr>
          <w:t xml:space="preserve">https://doi.org/10.1007/978-94-009-9365-5_5</w:t>
        </w:r>
      </w:hyperlink>
      <w:r>
        <w:t xml:space="preserve">.</w:t>
      </w:r>
    </w:p>
    <w:bookmarkEnd w:id="42"/>
    <w:bookmarkStart w:id="44" w:name="ref-drugaHowChildrensPerceptions2021"/>
    <w:p>
      <w:pPr>
        <w:pStyle w:val="Bibliography"/>
      </w:pPr>
      <w:r>
        <w:t xml:space="preserve">Druga, Stefania, and Amy J Ko. 2021.</w:t>
      </w:r>
      <w:r>
        <w:t xml:space="preserve"> </w:t>
      </w:r>
      <w:r>
        <w:t xml:space="preserve">“How Do Children’s Perceptions of Machine Intelligence Change When Training and Coding Smart Programs?”</w:t>
      </w:r>
      <w:r>
        <w:t xml:space="preserve"> In</w:t>
      </w:r>
      <w:r>
        <w:t xml:space="preserve"> </w:t>
      </w:r>
      <w:r>
        <w:rPr>
          <w:i/>
          <w:iCs/>
        </w:rPr>
        <w:t xml:space="preserve">Interaction</w:t>
      </w:r>
      <w:r>
        <w:rPr>
          <w:i/>
          <w:iCs/>
        </w:rPr>
        <w:t xml:space="preserve"> </w:t>
      </w:r>
      <w:r>
        <w:rPr>
          <w:i/>
          <w:iCs/>
        </w:rPr>
        <w:t xml:space="preserve">Design</w:t>
      </w:r>
      <w:r>
        <w:rPr>
          <w:i/>
          <w:iCs/>
        </w:rPr>
        <w:t xml:space="preserve"> </w:t>
      </w:r>
      <w:r>
        <w:rPr>
          <w:i/>
          <w:iCs/>
        </w:rPr>
        <w:t xml:space="preserve">and</w:t>
      </w:r>
      <w:r>
        <w:rPr>
          <w:i/>
          <w:iCs/>
        </w:rPr>
        <w:t xml:space="preserve"> </w:t>
      </w:r>
      <w:r>
        <w:rPr>
          <w:i/>
          <w:iCs/>
        </w:rPr>
        <w:t xml:space="preserve">Children</w:t>
      </w:r>
      <w:r>
        <w:t xml:space="preserve">, 49–61. Athens Greece: ACM.</w:t>
      </w:r>
      <w:r>
        <w:t xml:space="preserve"> </w:t>
      </w:r>
      <w:hyperlink r:id="rId43">
        <w:r>
          <w:rPr>
            <w:rStyle w:val="Hyperlink"/>
          </w:rPr>
          <w:t xml:space="preserve">https://doi.org/10.1145/3459990.3460712</w:t>
        </w:r>
      </w:hyperlink>
      <w:r>
        <w:t xml:space="preserve">.</w:t>
      </w:r>
    </w:p>
    <w:bookmarkEnd w:id="44"/>
    <w:bookmarkStart w:id="45" w:name="ref-epsteinSiliconValleysObsession2024"/>
    <w:p>
      <w:pPr>
        <w:pStyle w:val="Bibliography"/>
      </w:pPr>
      <w:r>
        <w:t xml:space="preserve">Epstein, The MIT Press. 2024.</w:t>
      </w:r>
      <w:r>
        <w:t xml:space="preserve"> </w:t>
      </w:r>
      <w:r>
        <w:t xml:space="preserve">“Silicon</w:t>
      </w:r>
      <w:r>
        <w:t xml:space="preserve"> </w:t>
      </w:r>
      <w:r>
        <w:t xml:space="preserve">Valley</w:t>
      </w:r>
      <w:r>
        <w:t xml:space="preserve">’s</w:t>
      </w:r>
      <w:r>
        <w:t xml:space="preserve"> </w:t>
      </w:r>
      <w:r>
        <w:t xml:space="preserve">Obsession With AI Looks</w:t>
      </w:r>
      <w:r>
        <w:t xml:space="preserve"> </w:t>
      </w:r>
      <w:r>
        <w:t xml:space="preserve">a</w:t>
      </w:r>
      <w:r>
        <w:t xml:space="preserve"> </w:t>
      </w:r>
      <w:r>
        <w:t xml:space="preserve">Lot Like Religion</w:t>
      </w:r>
      <w:r>
        <w:t xml:space="preserve">.”</w:t>
      </w:r>
      <w:r>
        <w:t xml:space="preserve"> </w:t>
      </w:r>
      <w:r>
        <w:rPr>
          <w:i/>
          <w:iCs/>
        </w:rPr>
        <w:t xml:space="preserve">The MIT Press Reader</w:t>
      </w:r>
      <w:r>
        <w:t xml:space="preserve">.</w:t>
      </w:r>
    </w:p>
    <w:bookmarkEnd w:id="45"/>
    <w:bookmarkStart w:id="46" w:name="ref-giddens1984constitution"/>
    <w:p>
      <w:pPr>
        <w:pStyle w:val="Bibliography"/>
      </w:pPr>
      <w:r>
        <w:t xml:space="preserve">Giddens, Anthony. 1984.</w:t>
      </w:r>
      <w:r>
        <w:t xml:space="preserve"> </w:t>
      </w:r>
      <w:r>
        <w:rPr>
          <w:i/>
          <w:iCs/>
        </w:rPr>
        <w:t xml:space="preserve">The Constitution of Society:</w:t>
      </w:r>
      <w:r>
        <w:rPr>
          <w:i/>
          <w:iCs/>
        </w:rPr>
        <w:t xml:space="preserve"> </w:t>
      </w:r>
      <w:r>
        <w:rPr>
          <w:i/>
          <w:iCs/>
        </w:rPr>
        <w:t xml:space="preserve">Outline</w:t>
      </w:r>
      <w:r>
        <w:rPr>
          <w:i/>
          <w:iCs/>
        </w:rPr>
        <w:t xml:space="preserve"> </w:t>
      </w:r>
      <w:r>
        <w:rPr>
          <w:i/>
          <w:iCs/>
        </w:rPr>
        <w:t xml:space="preserve">of the Theory of Structuration</w:t>
      </w:r>
      <w:r>
        <w:t xml:space="preserve">. Univ of California Press.</w:t>
      </w:r>
    </w:p>
    <w:bookmarkEnd w:id="46"/>
    <w:bookmarkStart w:id="47" w:name="ref-habermas1971technology"/>
    <w:p>
      <w:pPr>
        <w:pStyle w:val="Bibliography"/>
      </w:pPr>
      <w:r>
        <w:t xml:space="preserve">Habermas, Jürgen. 1971.</w:t>
      </w:r>
      <w:r>
        <w:t xml:space="preserve"> </w:t>
      </w:r>
      <w:r>
        <w:t xml:space="preserve">“Technology and Science as</w:t>
      </w:r>
      <w:r>
        <w:t xml:space="preserve"> </w:t>
      </w:r>
      <w:r>
        <w:t xml:space="preserve">‘Ideology’</w:t>
      </w:r>
      <w:r>
        <w:t xml:space="preserve">.”</w:t>
      </w:r>
      <w:r>
        <w:t xml:space="preserve"> </w:t>
      </w:r>
      <w:r>
        <w:rPr>
          <w:i/>
          <w:iCs/>
        </w:rPr>
        <w:t xml:space="preserve">Knowledge Critical Concepts</w:t>
      </w:r>
      <w:r>
        <w:t xml:space="preserve"> </w:t>
      </w:r>
      <w:r>
        <w:t xml:space="preserve">4.</w:t>
      </w:r>
    </w:p>
    <w:bookmarkEnd w:id="47"/>
    <w:bookmarkStart w:id="49" w:name="ref-heyndelsTechnologyNeutrality2023"/>
    <w:p>
      <w:pPr>
        <w:pStyle w:val="Bibliography"/>
      </w:pPr>
      <w:r>
        <w:t xml:space="preserve">Heyndels, Sybren. 2023.</w:t>
      </w:r>
      <w:r>
        <w:t xml:space="preserve"> </w:t>
      </w:r>
      <w:r>
        <w:t xml:space="preserve">“Technology and</w:t>
      </w:r>
      <w:r>
        <w:t xml:space="preserve"> </w:t>
      </w:r>
      <w:r>
        <w:t xml:space="preserve">Neutrality</w:t>
      </w:r>
      <w:r>
        <w:t xml:space="preserve">.”</w:t>
      </w:r>
      <w:r>
        <w:t xml:space="preserve"> </w:t>
      </w:r>
      <w:r>
        <w:rPr>
          <w:i/>
          <w:iCs/>
        </w:rPr>
        <w:t xml:space="preserve">Philosophy &amp; Technology</w:t>
      </w:r>
      <w:r>
        <w:t xml:space="preserve"> </w:t>
      </w:r>
      <w:r>
        <w:t xml:space="preserve">36 (4): 75.</w:t>
      </w:r>
      <w:r>
        <w:t xml:space="preserve"> </w:t>
      </w:r>
      <w:hyperlink r:id="rId48">
        <w:r>
          <w:rPr>
            <w:rStyle w:val="Hyperlink"/>
          </w:rPr>
          <w:t xml:space="preserve">https://doi.org/10.1007/s13347-023-00672-1</w:t>
        </w:r>
      </w:hyperlink>
      <w:r>
        <w:t xml:space="preserve">.</w:t>
      </w:r>
    </w:p>
    <w:bookmarkEnd w:id="49"/>
    <w:bookmarkStart w:id="50" w:name="ref-johnsonPowerProgressOur2023"/>
    <w:p>
      <w:pPr>
        <w:pStyle w:val="Bibliography"/>
      </w:pPr>
      <w:r>
        <w:t xml:space="preserve">Johnson, Simon, and Daron Acemoglu. 2023.</w:t>
      </w:r>
      <w:r>
        <w:t xml:space="preserve"> </w:t>
      </w:r>
      <w:r>
        <w:rPr>
          <w:i/>
          <w:iCs/>
        </w:rPr>
        <w:t xml:space="preserve">Power and</w:t>
      </w:r>
      <w:r>
        <w:rPr>
          <w:i/>
          <w:iCs/>
        </w:rPr>
        <w:t xml:space="preserve"> </w:t>
      </w:r>
      <w:r>
        <w:rPr>
          <w:i/>
          <w:iCs/>
        </w:rPr>
        <w:t xml:space="preserve">Progress</w:t>
      </w:r>
      <w:r>
        <w:rPr>
          <w:i/>
          <w:iCs/>
        </w:rPr>
        <w:t xml:space="preserve">:</w:t>
      </w:r>
      <w:r>
        <w:rPr>
          <w:i/>
          <w:iCs/>
        </w:rPr>
        <w:t xml:space="preserve"> </w:t>
      </w:r>
      <w:r>
        <w:rPr>
          <w:i/>
          <w:iCs/>
        </w:rPr>
        <w:t xml:space="preserve">Our Thousand-Year Struggle Over Technology</w:t>
      </w:r>
      <w:r>
        <w:rPr>
          <w:i/>
          <w:iCs/>
        </w:rPr>
        <w:t xml:space="preserve"> </w:t>
      </w:r>
      <w:r>
        <w:rPr>
          <w:i/>
          <w:iCs/>
        </w:rPr>
        <w:t xml:space="preserve">and</w:t>
      </w:r>
      <w:r>
        <w:rPr>
          <w:i/>
          <w:iCs/>
        </w:rPr>
        <w:t xml:space="preserve"> </w:t>
      </w:r>
      <w:r>
        <w:rPr>
          <w:i/>
          <w:iCs/>
        </w:rPr>
        <w:t xml:space="preserve">Prosperity</w:t>
      </w:r>
      <w:r>
        <w:t xml:space="preserve">. Hachette UK.</w:t>
      </w:r>
    </w:p>
    <w:bookmarkEnd w:id="50"/>
    <w:bookmarkStart w:id="51" w:name="ref-kemp2025Digital2025Global2025"/>
    <w:p>
      <w:pPr>
        <w:pStyle w:val="Bibliography"/>
      </w:pPr>
      <w:r>
        <w:t xml:space="preserve">Kemp, Simon. 2025.</w:t>
      </w:r>
      <w:r>
        <w:t xml:space="preserve"> </w:t>
      </w:r>
      <w:r>
        <w:t xml:space="preserve">“Digital 2025:</w:t>
      </w:r>
      <w:r>
        <w:t xml:space="preserve"> </w:t>
      </w:r>
      <w:r>
        <w:t xml:space="preserve">Global Overview Report</w:t>
      </w:r>
      <w:r>
        <w:t xml:space="preserve">.”</w:t>
      </w:r>
      <w:r>
        <w:t xml:space="preserve"> </w:t>
      </w:r>
      <w:r>
        <w:rPr>
          <w:i/>
          <w:iCs/>
        </w:rPr>
        <w:t xml:space="preserve">DataReportal – Global Digital Insights</w:t>
      </w:r>
      <w:r>
        <w:t xml:space="preserve">. https://datareportal.com/reports/digital-2025-global-overview-report; Data Reportal.</w:t>
      </w:r>
    </w:p>
    <w:bookmarkEnd w:id="51"/>
    <w:bookmarkStart w:id="53" w:name="ref-legaspiSyntheticAgencySense2019"/>
    <w:p>
      <w:pPr>
        <w:pStyle w:val="Bibliography"/>
      </w:pPr>
      <w:r>
        <w:t xml:space="preserve">Legaspi, Roberto, Zhengqi He, and Taro Toyoizumi. 2019.</w:t>
      </w:r>
      <w:r>
        <w:t xml:space="preserve"> </w:t>
      </w:r>
      <w:r>
        <w:t xml:space="preserve">“Synthetic Agency: Sense of Agency in Artificial Intelligence.”</w:t>
      </w:r>
      <w:r>
        <w:t xml:space="preserve"> </w:t>
      </w:r>
      <w:r>
        <w:rPr>
          <w:i/>
          <w:iCs/>
        </w:rPr>
        <w:t xml:space="preserve">Current Opinion in Behavioral Sciences</w:t>
      </w:r>
      <w:r>
        <w:t xml:space="preserve">, Artificial</w:t>
      </w:r>
      <w:r>
        <w:t xml:space="preserve"> </w:t>
      </w:r>
      <w:r>
        <w:t xml:space="preserve">Intelligence</w:t>
      </w:r>
      <w:r>
        <w:t xml:space="preserve">, 29 (October): 84–90.</w:t>
      </w:r>
      <w:r>
        <w:t xml:space="preserve"> </w:t>
      </w:r>
      <w:hyperlink r:id="rId52">
        <w:r>
          <w:rPr>
            <w:rStyle w:val="Hyperlink"/>
          </w:rPr>
          <w:t xml:space="preserve">https://doi.org/10.1016/j.cobeha.2019.04.004</w:t>
        </w:r>
      </w:hyperlink>
      <w:r>
        <w:t xml:space="preserve">.</w:t>
      </w:r>
    </w:p>
    <w:bookmarkEnd w:id="53"/>
    <w:bookmarkStart w:id="54" w:name="ref-mathurTechnologyFreedom"/>
    <w:p>
      <w:pPr>
        <w:pStyle w:val="Bibliography"/>
      </w:pPr>
      <w:r>
        <w:t xml:space="preserve">Mathur, A B. n.d.</w:t>
      </w:r>
      <w:r>
        <w:t xml:space="preserve"> </w:t>
      </w:r>
      <w:r>
        <w:t xml:space="preserve">“Technology and</w:t>
      </w:r>
      <w:r>
        <w:t xml:space="preserve"> </w:t>
      </w:r>
      <w:r>
        <w:t xml:space="preserve">Freedom</w:t>
      </w:r>
      <w:r>
        <w:t xml:space="preserve">.”</w:t>
      </w:r>
    </w:p>
    <w:bookmarkEnd w:id="54"/>
    <w:bookmarkStart w:id="56" w:name="ref-morrowWhenTechnologiesMakes2014"/>
    <w:p>
      <w:pPr>
        <w:pStyle w:val="Bibliography"/>
      </w:pPr>
      <w:r>
        <w:t xml:space="preserve">Morrow, David R. 2014.</w:t>
      </w:r>
      <w:r>
        <w:t xml:space="preserve"> </w:t>
      </w:r>
      <w:r>
        <w:t xml:space="preserve">“When</w:t>
      </w:r>
      <w:r>
        <w:t xml:space="preserve"> </w:t>
      </w:r>
      <w:r>
        <w:t xml:space="preserve">Technologies Makes Good People Do Bad Things</w:t>
      </w:r>
      <w:r>
        <w:t xml:space="preserve">:</w:t>
      </w:r>
      <w:r>
        <w:t xml:space="preserve"> </w:t>
      </w:r>
      <w:r>
        <w:t xml:space="preserve">Another Argument Against</w:t>
      </w:r>
      <w:r>
        <w:t xml:space="preserve"> </w:t>
      </w:r>
      <w:r>
        <w:t xml:space="preserve">the</w:t>
      </w:r>
      <w:r>
        <w:t xml:space="preserve"> </w:t>
      </w:r>
      <w:r>
        <w:t xml:space="preserve">Value-Neutrality</w:t>
      </w:r>
      <w:r>
        <w:t xml:space="preserve"> </w:t>
      </w:r>
      <w:r>
        <w:t xml:space="preserve">of</w:t>
      </w:r>
      <w:r>
        <w:t xml:space="preserve"> </w:t>
      </w:r>
      <w:r>
        <w:t xml:space="preserve">Technologies</w:t>
      </w:r>
      <w:r>
        <w:t xml:space="preserve">.”</w:t>
      </w:r>
      <w:r>
        <w:t xml:space="preserve"> </w:t>
      </w:r>
      <w:r>
        <w:rPr>
          <w:i/>
          <w:iCs/>
        </w:rPr>
        <w:t xml:space="preserve">Science and Engineering Ethics</w:t>
      </w:r>
      <w:r>
        <w:t xml:space="preserve"> </w:t>
      </w:r>
      <w:r>
        <w:t xml:space="preserve">20 (2): 329–43.</w:t>
      </w:r>
      <w:r>
        <w:t xml:space="preserve"> </w:t>
      </w:r>
      <w:hyperlink r:id="rId55">
        <w:r>
          <w:rPr>
            <w:rStyle w:val="Hyperlink"/>
          </w:rPr>
          <w:t xml:space="preserve">https://doi.org/10.1007/s11948-013-9464-1</w:t>
        </w:r>
      </w:hyperlink>
      <w:r>
        <w:t xml:space="preserve">.</w:t>
      </w:r>
    </w:p>
    <w:bookmarkEnd w:id="56"/>
    <w:bookmarkStart w:id="58" w:name="ref-moutaWhereAgencyMoving2025"/>
    <w:p>
      <w:pPr>
        <w:pStyle w:val="Bibliography"/>
      </w:pPr>
      <w:r>
        <w:t xml:space="preserve">Mouta, Ana, Ana María Pinto-Llorente, and Eva María Torrecilla-Sánchez. 2025.</w:t>
      </w:r>
      <w:r>
        <w:t xml:space="preserve"> </w:t>
      </w:r>
      <w:r>
        <w:t xml:space="preserve">“</w:t>
      </w:r>
      <w:r>
        <w:t xml:space="preserve">‘</w:t>
      </w:r>
      <w:r>
        <w:t xml:space="preserve">Where</w:t>
      </w:r>
      <w:r>
        <w:t xml:space="preserve"> </w:t>
      </w:r>
      <w:r>
        <w:t xml:space="preserve">Is</w:t>
      </w:r>
      <w:r>
        <w:t xml:space="preserve"> </w:t>
      </w:r>
      <w:r>
        <w:t xml:space="preserve">Agency Moving</w:t>
      </w:r>
      <w:r>
        <w:t xml:space="preserve"> </w:t>
      </w:r>
      <w:r>
        <w:t xml:space="preserve">to?’</w:t>
      </w:r>
      <w:r>
        <w:t xml:space="preserve">:</w:t>
      </w:r>
      <w:r>
        <w:t xml:space="preserve"> </w:t>
      </w:r>
      <w:r>
        <w:t xml:space="preserve">Exploring</w:t>
      </w:r>
      <w:r>
        <w:t xml:space="preserve"> </w:t>
      </w:r>
      <w:r>
        <w:t xml:space="preserve">the</w:t>
      </w:r>
      <w:r>
        <w:t xml:space="preserve"> </w:t>
      </w:r>
      <w:r>
        <w:t xml:space="preserve">Interplay</w:t>
      </w:r>
      <w:r>
        <w:t xml:space="preserve"> </w:t>
      </w:r>
      <w:r>
        <w:t xml:space="preserve">Between</w:t>
      </w:r>
      <w:r>
        <w:t xml:space="preserve"> </w:t>
      </w:r>
      <w:r>
        <w:t xml:space="preserve">AI Technologies</w:t>
      </w:r>
      <w:r>
        <w:t xml:space="preserve"> </w:t>
      </w:r>
      <w:r>
        <w:t xml:space="preserve">in</w:t>
      </w:r>
      <w:r>
        <w:t xml:space="preserve"> </w:t>
      </w:r>
      <w:r>
        <w:t xml:space="preserve">Education</w:t>
      </w:r>
      <w:r>
        <w:t xml:space="preserve"> </w:t>
      </w:r>
      <w:r>
        <w:t xml:space="preserve">and</w:t>
      </w:r>
      <w:r>
        <w:t xml:space="preserve"> </w:t>
      </w:r>
      <w:r>
        <w:t xml:space="preserve">Human Agency</w:t>
      </w:r>
      <w:r>
        <w:t xml:space="preserve">.”</w:t>
      </w:r>
      <w:r>
        <w:t xml:space="preserve"> </w:t>
      </w:r>
      <w:r>
        <w:rPr>
          <w:i/>
          <w:iCs/>
        </w:rPr>
        <w:t xml:space="preserve">Digital Society</w:t>
      </w:r>
      <w:r>
        <w:t xml:space="preserve"> </w:t>
      </w:r>
      <w:r>
        <w:t xml:space="preserve">4 (2): 49.</w:t>
      </w:r>
      <w:r>
        <w:t xml:space="preserve"> </w:t>
      </w:r>
      <w:hyperlink r:id="rId57">
        <w:r>
          <w:rPr>
            <w:rStyle w:val="Hyperlink"/>
          </w:rPr>
          <w:t xml:space="preserve">https://doi.org/10.1007/s44206-025-00203-9</w:t>
        </w:r>
      </w:hyperlink>
      <w:r>
        <w:t xml:space="preserve">.</w:t>
      </w:r>
    </w:p>
    <w:bookmarkEnd w:id="58"/>
    <w:bookmarkStart w:id="59" w:name="ref-pewFutureHuman2023"/>
    <w:p>
      <w:pPr>
        <w:pStyle w:val="Bibliography"/>
      </w:pPr>
      <w:r>
        <w:t xml:space="preserve">Pew Research Center, Janna Anderson, and Lee Rainie. 2023.</w:t>
      </w:r>
      <w:r>
        <w:t xml:space="preserve"> </w:t>
      </w:r>
      <w:r>
        <w:t xml:space="preserve">“The</w:t>
      </w:r>
      <w:r>
        <w:t xml:space="preserve"> </w:t>
      </w:r>
      <w:r>
        <w:t xml:space="preserve">Future</w:t>
      </w:r>
      <w:r>
        <w:t xml:space="preserve"> </w:t>
      </w:r>
      <w:r>
        <w:t xml:space="preserve">of</w:t>
      </w:r>
      <w:r>
        <w:t xml:space="preserve"> </w:t>
      </w:r>
      <w:r>
        <w:t xml:space="preserve">Human Agency</w:t>
      </w:r>
      <w:r>
        <w:t xml:space="preserve">,”</w:t>
      </w:r>
      <w:r>
        <w:t xml:space="preserve"> </w:t>
      </w:r>
      <w:r>
        <w:t xml:space="preserve">February.</w:t>
      </w:r>
    </w:p>
    <w:bookmarkEnd w:id="59"/>
    <w:bookmarkStart w:id="61" w:name="ref-pinskiAILiteracyUsers2024"/>
    <w:p>
      <w:pPr>
        <w:pStyle w:val="Bibliography"/>
      </w:pPr>
      <w:r>
        <w:t xml:space="preserve">Pinski, Marc, and Alexander Benlian. 2024.</w:t>
      </w:r>
      <w:r>
        <w:t xml:space="preserve"> </w:t>
      </w:r>
      <w:r>
        <w:t xml:space="preserve">“</w:t>
      </w:r>
      <w:r>
        <w:t xml:space="preserve">AI</w:t>
      </w:r>
      <w:r>
        <w:t xml:space="preserve"> </w:t>
      </w:r>
      <w:r>
        <w:t xml:space="preserve">Literacy for Users –</w:t>
      </w:r>
      <w:r>
        <w:t xml:space="preserve"> </w:t>
      </w:r>
      <w:r>
        <w:t xml:space="preserve">A</w:t>
      </w:r>
      <w:r>
        <w:t xml:space="preserve"> </w:t>
      </w:r>
      <w:r>
        <w:t xml:space="preserve">Comprehensive Review and Future Research Directions of Learning Methods, Components, and Effects.”</w:t>
      </w:r>
      <w:r>
        <w:t xml:space="preserve"> </w:t>
      </w:r>
      <w:r>
        <w:rPr>
          <w:i/>
          <w:iCs/>
        </w:rPr>
        <w:t xml:space="preserve">Computers in Human Behavior: Artificial Humans</w:t>
      </w:r>
      <w:r>
        <w:t xml:space="preserve"> </w:t>
      </w:r>
      <w:r>
        <w:t xml:space="preserve">2 (1): 100062.</w:t>
      </w:r>
      <w:r>
        <w:t xml:space="preserve"> </w:t>
      </w:r>
      <w:hyperlink r:id="rId60">
        <w:r>
          <w:rPr>
            <w:rStyle w:val="Hyperlink"/>
          </w:rPr>
          <w:t xml:space="preserve">https://doi.org/10.1016/j.chbah.2024.100062</w:t>
        </w:r>
      </w:hyperlink>
      <w:r>
        <w:t xml:space="preserve">.</w:t>
      </w:r>
    </w:p>
    <w:bookmarkEnd w:id="61"/>
    <w:bookmarkStart w:id="62" w:name="ref-Pippin_2008"/>
    <w:p>
      <w:pPr>
        <w:pStyle w:val="Bibliography"/>
      </w:pPr>
      <w:r>
        <w:t xml:space="preserve">Pippin, Robert B. 2008.</w:t>
      </w:r>
      <w:r>
        <w:t xml:space="preserve"> </w:t>
      </w:r>
      <w:r>
        <w:t xml:space="preserve">“Institutional Rationality.”</w:t>
      </w:r>
      <w:r>
        <w:t xml:space="preserve"> </w:t>
      </w:r>
      <w:r>
        <w:t xml:space="preserve">In</w:t>
      </w:r>
      <w:r>
        <w:t xml:space="preserve"> </w:t>
      </w:r>
      <w:r>
        <w:rPr>
          <w:i/>
          <w:iCs/>
        </w:rPr>
        <w:t xml:space="preserve">Hegel’s Practical Philosophy:</w:t>
      </w:r>
      <w:r>
        <w:rPr>
          <w:i/>
          <w:iCs/>
        </w:rPr>
        <w:t xml:space="preserve"> </w:t>
      </w:r>
      <w:r>
        <w:rPr>
          <w:i/>
          <w:iCs/>
        </w:rPr>
        <w:t xml:space="preserve">Rational</w:t>
      </w:r>
      <w:r>
        <w:rPr>
          <w:i/>
          <w:iCs/>
        </w:rPr>
        <w:t xml:space="preserve"> </w:t>
      </w:r>
      <w:r>
        <w:rPr>
          <w:i/>
          <w:iCs/>
        </w:rPr>
        <w:t xml:space="preserve">Agency as Ethical Life</w:t>
      </w:r>
      <w:r>
        <w:t xml:space="preserve">, 239–72. Cambridge: Cambridge University Press.</w:t>
      </w:r>
    </w:p>
    <w:bookmarkEnd w:id="62"/>
    <w:bookmarkStart w:id="64" w:name="ref-poncerojoDigitalNativesAI2025"/>
    <w:p>
      <w:pPr>
        <w:pStyle w:val="Bibliography"/>
      </w:pPr>
      <w:r>
        <w:t xml:space="preserve">Ponce Rojo, Antonio, Tomás Fontaines-Ruiz, Amelia Sánchez Bracho, and Liliana Cánquiz Rincón. 2025.</w:t>
      </w:r>
      <w:r>
        <w:t xml:space="preserve"> </w:t>
      </w:r>
      <w:r>
        <w:t xml:space="preserve">“From</w:t>
      </w:r>
      <w:r>
        <w:t xml:space="preserve"> </w:t>
      </w:r>
      <w:r>
        <w:t xml:space="preserve">Digital Natives</w:t>
      </w:r>
      <w:r>
        <w:t xml:space="preserve"> </w:t>
      </w:r>
      <w:r>
        <w:t xml:space="preserve">to</w:t>
      </w:r>
      <w:r>
        <w:t xml:space="preserve"> </w:t>
      </w:r>
      <w:r>
        <w:t xml:space="preserve">AI Natives</w:t>
      </w:r>
      <w:r>
        <w:t xml:space="preserve">:</w:t>
      </w:r>
      <w:r>
        <w:t xml:space="preserve"> </w:t>
      </w:r>
      <w:r>
        <w:t xml:space="preserve">Emerging Competencies</w:t>
      </w:r>
      <w:r>
        <w:t xml:space="preserve"> </w:t>
      </w:r>
      <w:r>
        <w:t xml:space="preserve">and</w:t>
      </w:r>
      <w:r>
        <w:t xml:space="preserve"> </w:t>
      </w:r>
      <w:r>
        <w:t xml:space="preserve">Media</w:t>
      </w:r>
      <w:r>
        <w:t xml:space="preserve"> </w:t>
      </w:r>
      <w:r>
        <w:t xml:space="preserve">and</w:t>
      </w:r>
      <w:r>
        <w:t xml:space="preserve"> </w:t>
      </w:r>
      <w:r>
        <w:t xml:space="preserve">Information Literacy</w:t>
      </w:r>
      <w:r>
        <w:t xml:space="preserve"> </w:t>
      </w:r>
      <w:r>
        <w:t xml:space="preserve">in</w:t>
      </w:r>
      <w:r>
        <w:t xml:space="preserve"> </w:t>
      </w:r>
      <w:r>
        <w:t xml:space="preserve">Higher Education</w:t>
      </w:r>
      <w:r>
        <w:t xml:space="preserve">.”</w:t>
      </w:r>
      <w:r>
        <w:t xml:space="preserve"> </w:t>
      </w:r>
      <w:r>
        <w:rPr>
          <w:i/>
          <w:iCs/>
        </w:rPr>
        <w:t xml:space="preserve">Education Sciences</w:t>
      </w:r>
      <w:r>
        <w:t xml:space="preserve"> </w:t>
      </w:r>
      <w:r>
        <w:t xml:space="preserve">15 (9): 1134.</w:t>
      </w:r>
      <w:r>
        <w:t xml:space="preserve"> </w:t>
      </w:r>
      <w:hyperlink r:id="rId63">
        <w:r>
          <w:rPr>
            <w:rStyle w:val="Hyperlink"/>
          </w:rPr>
          <w:t xml:space="preserve">https://doi.org/10.3390/educsci15091134</w:t>
        </w:r>
      </w:hyperlink>
      <w:r>
        <w:t xml:space="preserve">.</w:t>
      </w:r>
    </w:p>
    <w:bookmarkEnd w:id="64"/>
    <w:bookmarkStart w:id="65" w:name="ref-PradosdelaEscosura_2022"/>
    <w:p>
      <w:pPr>
        <w:pStyle w:val="Bibliography"/>
      </w:pPr>
      <w:r>
        <w:t xml:space="preserve">Prados de la Escosura, Leandro. 2022.</w:t>
      </w:r>
      <w:r>
        <w:t xml:space="preserve"> </w:t>
      </w:r>
      <w:r>
        <w:rPr>
          <w:i/>
          <w:iCs/>
        </w:rPr>
        <w:t xml:space="preserve">Human Development and the Path to Freedom: 1870 to the Present</w:t>
      </w:r>
      <w:r>
        <w:t xml:space="preserve">. New Approaches to Economic and Social History. Cambridge: Cambridge University Press.</w:t>
      </w:r>
    </w:p>
    <w:bookmarkEnd w:id="65"/>
    <w:bookmarkStart w:id="67" w:name="Xa078f9945c7a1cf901e6fb808b094b6ffe71948"/>
    <w:p>
      <w:pPr>
        <w:pStyle w:val="Bibliography"/>
      </w:pPr>
      <w:r>
        <w:t xml:space="preserve">Qureshi, Rizwan, Ranjan Sapkota, Abbas Shah, Amgad Muneer, Anas Zafar, Ashmal Vayani, Maged Shoman, et al. 2025.</w:t>
      </w:r>
      <w:r>
        <w:t xml:space="preserve"> </w:t>
      </w:r>
      <w:r>
        <w:t xml:space="preserve">“Thinking</w:t>
      </w:r>
      <w:r>
        <w:t xml:space="preserve"> </w:t>
      </w:r>
      <w:r>
        <w:t xml:space="preserve">Beyond Tokens</w:t>
      </w:r>
      <w:r>
        <w:t xml:space="preserve">:</w:t>
      </w:r>
      <w:r>
        <w:t xml:space="preserve"> </w:t>
      </w:r>
      <w:r>
        <w:t xml:space="preserve">From Brain-Inspired Intelligence</w:t>
      </w:r>
      <w:r>
        <w:t xml:space="preserve"> </w:t>
      </w:r>
      <w:r>
        <w:t xml:space="preserve">to</w:t>
      </w:r>
      <w:r>
        <w:t xml:space="preserve"> </w:t>
      </w:r>
      <w:r>
        <w:t xml:space="preserve">Cognitive Foundations</w:t>
      </w:r>
      <w:r>
        <w:t xml:space="preserve"> </w:t>
      </w:r>
      <w:r>
        <w:t xml:space="preserve">for</w:t>
      </w:r>
      <w:r>
        <w:t xml:space="preserve"> </w:t>
      </w:r>
      <w:r>
        <w:t xml:space="preserve">Artificial General Intelligence</w:t>
      </w:r>
      <w:r>
        <w:t xml:space="preserve"> </w:t>
      </w:r>
      <w:r>
        <w:t xml:space="preserve">and Its</w:t>
      </w:r>
      <w:r>
        <w:t xml:space="preserve"> </w:t>
      </w:r>
      <w:r>
        <w:t xml:space="preserve">Societal Impact</w:t>
      </w:r>
      <w:r>
        <w:t xml:space="preserve">.”</w:t>
      </w:r>
      <w:r>
        <w:t xml:space="preserve"> </w:t>
      </w:r>
      <w:r>
        <w:t xml:space="preserve">arXiv.</w:t>
      </w:r>
      <w:r>
        <w:t xml:space="preserve"> </w:t>
      </w:r>
      <w:hyperlink r:id="rId66">
        <w:r>
          <w:rPr>
            <w:rStyle w:val="Hyperlink"/>
          </w:rPr>
          <w:t xml:space="preserve">https://doi.org/10.48550/arXiv.2507.00951</w:t>
        </w:r>
      </w:hyperlink>
      <w:r>
        <w:t xml:space="preserve">.</w:t>
      </w:r>
    </w:p>
    <w:bookmarkEnd w:id="67"/>
    <w:bookmarkStart w:id="68" w:name="ref-senDevelopmentFreedom1999"/>
    <w:p>
      <w:pPr>
        <w:pStyle w:val="Bibliography"/>
      </w:pPr>
      <w:r>
        <w:t xml:space="preserve">Sen, Amartya. 1999.</w:t>
      </w:r>
      <w:r>
        <w:t xml:space="preserve"> </w:t>
      </w:r>
      <w:r>
        <w:rPr>
          <w:i/>
          <w:iCs/>
        </w:rPr>
        <w:t xml:space="preserve">Development as</w:t>
      </w:r>
      <w:r>
        <w:rPr>
          <w:i/>
          <w:iCs/>
        </w:rPr>
        <w:t xml:space="preserve"> </w:t>
      </w:r>
      <w:r>
        <w:rPr>
          <w:i/>
          <w:iCs/>
        </w:rPr>
        <w:t xml:space="preserve">Freedom</w:t>
      </w:r>
      <w:r>
        <w:t xml:space="preserve">. Oxford University Press.</w:t>
      </w:r>
    </w:p>
    <w:bookmarkEnd w:id="68"/>
    <w:bookmarkStart w:id="69" w:name="ref-WorldPopulationProspects"/>
    <w:p>
      <w:pPr>
        <w:pStyle w:val="Bibliography"/>
      </w:pPr>
      <w:r>
        <w:t xml:space="preserve">United Nations. 2024.</w:t>
      </w:r>
      <w:r>
        <w:t xml:space="preserve"> </w:t>
      </w:r>
      <w:r>
        <w:t xml:space="preserve">“World</w:t>
      </w:r>
      <w:r>
        <w:t xml:space="preserve"> </w:t>
      </w:r>
      <w:r>
        <w:t xml:space="preserve">Population Prospects</w:t>
      </w:r>
      <w:r>
        <w:t xml:space="preserve">.”</w:t>
      </w:r>
      <w:r>
        <w:t xml:space="preserve"> </w:t>
      </w:r>
      <w:r>
        <w:t xml:space="preserve">https://population.un.org/wpp/graphs?loc=900&amp;type=Probabilistic%20Projections&amp;category=Population&amp;subcategory=Age%200-24; United Nations.</w:t>
      </w:r>
    </w:p>
    <w:bookmarkEnd w:id="69"/>
    <w:bookmarkStart w:id="71" w:name="ref-vossWhyWeDont2023"/>
    <w:p>
      <w:pPr>
        <w:pStyle w:val="Bibliography"/>
      </w:pPr>
      <w:r>
        <w:t xml:space="preserve">Voss, Peter, and Mladjan Jovanovic. 2023.</w:t>
      </w:r>
      <w:r>
        <w:t xml:space="preserve"> </w:t>
      </w:r>
      <w:r>
        <w:t xml:space="preserve">“Why</w:t>
      </w:r>
      <w:r>
        <w:t xml:space="preserve"> </w:t>
      </w:r>
      <w:r>
        <w:t xml:space="preserve">We Don</w:t>
      </w:r>
      <w:r>
        <w:t xml:space="preserve">’t</w:t>
      </w:r>
      <w:r>
        <w:t xml:space="preserve"> </w:t>
      </w:r>
      <w:r>
        <w:t xml:space="preserve">Have AGI Yet</w:t>
      </w:r>
      <w:r>
        <w:t xml:space="preserve">.”</w:t>
      </w:r>
      <w:r>
        <w:t xml:space="preserve"> </w:t>
      </w:r>
      <w:r>
        <w:t xml:space="preserve">arXiv.</w:t>
      </w:r>
      <w:r>
        <w:t xml:space="preserve"> </w:t>
      </w:r>
      <w:hyperlink r:id="rId70">
        <w:r>
          <w:rPr>
            <w:rStyle w:val="Hyperlink"/>
          </w:rPr>
          <w:t xml:space="preserve">https://doi.org/10.48550/arXiv.2308.03598</w:t>
        </w:r>
      </w:hyperlink>
      <w:r>
        <w:t xml:space="preserve">.</w:t>
      </w:r>
    </w:p>
    <w:bookmarkEnd w:id="71"/>
    <w:bookmarkStart w:id="73" w:name="ref-winnerCultInnovationIts2018"/>
    <w:p>
      <w:pPr>
        <w:pStyle w:val="Bibliography"/>
      </w:pPr>
      <w:r>
        <w:t xml:space="preserve">Winner, Langdon. 2018.</w:t>
      </w:r>
      <w:r>
        <w:t xml:space="preserve"> </w:t>
      </w:r>
      <w:r>
        <w:t xml:space="preserve">“The</w:t>
      </w:r>
      <w:r>
        <w:t xml:space="preserve"> </w:t>
      </w:r>
      <w:r>
        <w:t xml:space="preserve">Cult</w:t>
      </w:r>
      <w:r>
        <w:t xml:space="preserve"> </w:t>
      </w:r>
      <w:r>
        <w:t xml:space="preserve">of</w:t>
      </w:r>
      <w:r>
        <w:t xml:space="preserve"> </w:t>
      </w:r>
      <w:r>
        <w:t xml:space="preserve">Innovation</w:t>
      </w:r>
      <w:r>
        <w:t xml:space="preserve">:</w:t>
      </w:r>
      <w:r>
        <w:t xml:space="preserve"> </w:t>
      </w:r>
      <w:r>
        <w:t xml:space="preserve">Its Myths</w:t>
      </w:r>
      <w:r>
        <w:t xml:space="preserve"> </w:t>
      </w:r>
      <w:r>
        <w:t xml:space="preserve">and</w:t>
      </w:r>
      <w:r>
        <w:t xml:space="preserve"> </w:t>
      </w:r>
      <w:r>
        <w:t xml:space="preserve">Rituals</w:t>
      </w:r>
      <w:r>
        <w:t xml:space="preserve">.”</w:t>
      </w:r>
      <w:r>
        <w:t xml:space="preserve"> </w:t>
      </w:r>
      <w:r>
        <w:t xml:space="preserve">In</w:t>
      </w:r>
      <w:r>
        <w:t xml:space="preserve"> </w:t>
      </w:r>
      <w:r>
        <w:rPr>
          <w:i/>
          <w:iCs/>
        </w:rPr>
        <w:t xml:space="preserve">Engineering a</w:t>
      </w:r>
      <w:r>
        <w:rPr>
          <w:i/>
          <w:iCs/>
        </w:rPr>
        <w:t xml:space="preserve"> </w:t>
      </w:r>
      <w:r>
        <w:rPr>
          <w:i/>
          <w:iCs/>
        </w:rPr>
        <w:t xml:space="preserve">Better Future</w:t>
      </w:r>
      <w:r>
        <w:rPr>
          <w:i/>
          <w:iCs/>
        </w:rPr>
        <w:t xml:space="preserve">:</w:t>
      </w:r>
      <w:r>
        <w:rPr>
          <w:i/>
          <w:iCs/>
        </w:rPr>
        <w:t xml:space="preserve"> </w:t>
      </w:r>
      <w:r>
        <w:rPr>
          <w:i/>
          <w:iCs/>
        </w:rPr>
        <w:t xml:space="preserve">Interplay</w:t>
      </w:r>
      <w:r>
        <w:rPr>
          <w:i/>
          <w:iCs/>
        </w:rPr>
        <w:t xml:space="preserve"> </w:t>
      </w:r>
      <w:r>
        <w:rPr>
          <w:i/>
          <w:iCs/>
        </w:rPr>
        <w:t xml:space="preserve">Between</w:t>
      </w:r>
      <w:r>
        <w:rPr>
          <w:i/>
          <w:iCs/>
        </w:rPr>
        <w:t xml:space="preserve"> </w:t>
      </w:r>
      <w:r>
        <w:rPr>
          <w:i/>
          <w:iCs/>
        </w:rPr>
        <w:t xml:space="preserve">Engineering</w:t>
      </w:r>
      <w:r>
        <w:rPr>
          <w:i/>
          <w:iCs/>
        </w:rPr>
        <w:t xml:space="preserve">,</w:t>
      </w:r>
      <w:r>
        <w:rPr>
          <w:i/>
          <w:iCs/>
        </w:rPr>
        <w:t xml:space="preserve"> </w:t>
      </w:r>
      <w:r>
        <w:rPr>
          <w:i/>
          <w:iCs/>
        </w:rPr>
        <w:t xml:space="preserve">Social Sciences</w:t>
      </w:r>
      <w:r>
        <w:rPr>
          <w:i/>
          <w:iCs/>
        </w:rPr>
        <w:t xml:space="preserve">, and</w:t>
      </w:r>
      <w:r>
        <w:rPr>
          <w:i/>
          <w:iCs/>
        </w:rPr>
        <w:t xml:space="preserve"> </w:t>
      </w:r>
      <w:r>
        <w:rPr>
          <w:i/>
          <w:iCs/>
        </w:rPr>
        <w:t xml:space="preserve">Innovation</w:t>
      </w:r>
      <w:r>
        <w:t xml:space="preserve">, edited by Eswaran Subrahmanian, Toluwalogo Odumosu, and Jeffrey Y. Tsao, 61–73. Cham: Springer International Publishing.</w:t>
      </w:r>
      <w:r>
        <w:t xml:space="preserve"> </w:t>
      </w:r>
      <w:hyperlink r:id="rId72">
        <w:r>
          <w:rPr>
            <w:rStyle w:val="Hyperlink"/>
          </w:rPr>
          <w:t xml:space="preserve">https://doi.org/10.1007/978-3-319-91134-2_8</w:t>
        </w:r>
      </w:hyperlink>
      <w:r>
        <w:t xml:space="preserve">.</w:t>
      </w:r>
    </w:p>
    <w:bookmarkEnd w:id="73"/>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72" Target="https://doi.org/10.1007/978-3-319-91134-2_8" TargetMode="External" /><Relationship Type="http://schemas.openxmlformats.org/officeDocument/2006/relationships/hyperlink" Id="rId41" Target="https://doi.org/10.1007/978-94-009-9365-5_5" TargetMode="External" /><Relationship Type="http://schemas.openxmlformats.org/officeDocument/2006/relationships/hyperlink" Id="rId55" Target="https://doi.org/10.1007/s11948-013-9464-1" TargetMode="External" /><Relationship Type="http://schemas.openxmlformats.org/officeDocument/2006/relationships/hyperlink" Id="rId48" Target="https://doi.org/10.1007/s13347-023-00672-1" TargetMode="External" /><Relationship Type="http://schemas.openxmlformats.org/officeDocument/2006/relationships/hyperlink" Id="rId35" Target="https://doi.org/10.1007/s43681-024-00454-1" TargetMode="External" /><Relationship Type="http://schemas.openxmlformats.org/officeDocument/2006/relationships/hyperlink" Id="rId57" Target="https://doi.org/10.1007/s44206-025-00203-9" TargetMode="External" /><Relationship Type="http://schemas.openxmlformats.org/officeDocument/2006/relationships/hyperlink" Id="rId60" Target="https://doi.org/10.1016/j.chbah.2024.100062" TargetMode="External" /><Relationship Type="http://schemas.openxmlformats.org/officeDocument/2006/relationships/hyperlink" Id="rId52" Target="https://doi.org/10.1016/j.cobeha.2019.04.004" TargetMode="External" /><Relationship Type="http://schemas.openxmlformats.org/officeDocument/2006/relationships/hyperlink" Id="rId30" Target="https://doi.org/10.1109/ACCESS.2025.3532853" TargetMode="External" /><Relationship Type="http://schemas.openxmlformats.org/officeDocument/2006/relationships/hyperlink" Id="rId37" Target="https://doi.org/10.1111/j.1467-8535.2007.00793.x" TargetMode="External" /><Relationship Type="http://schemas.openxmlformats.org/officeDocument/2006/relationships/hyperlink" Id="rId43" Target="https://doi.org/10.1145/3459990.3460712" TargetMode="External" /><Relationship Type="http://schemas.openxmlformats.org/officeDocument/2006/relationships/hyperlink" Id="rId39" Target="https://doi.org/10.1162/daed_a_01915" TargetMode="External" /><Relationship Type="http://schemas.openxmlformats.org/officeDocument/2006/relationships/hyperlink" Id="rId63" Target="https://doi.org/10.3390/educsci15091134" TargetMode="External" /><Relationship Type="http://schemas.openxmlformats.org/officeDocument/2006/relationships/hyperlink" Id="rId70" Target="https://doi.org/10.48550/arXiv.2308.03598" TargetMode="External" /><Relationship Type="http://schemas.openxmlformats.org/officeDocument/2006/relationships/hyperlink" Id="rId66" Target="https://doi.org/10.48550/arXiv.2507.00951" TargetMode="External" /><Relationship Type="http://schemas.openxmlformats.org/officeDocument/2006/relationships/hyperlink" Id="rId28" Target="https://fritzvd.github.io/proposal/proposal-2026-03.qmd.html"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7/978-3-319-91134-2_8" TargetMode="External" /><Relationship Type="http://schemas.openxmlformats.org/officeDocument/2006/relationships/hyperlink" Id="rId41" Target="https://doi.org/10.1007/978-94-009-9365-5_5" TargetMode="External" /><Relationship Type="http://schemas.openxmlformats.org/officeDocument/2006/relationships/hyperlink" Id="rId55" Target="https://doi.org/10.1007/s11948-013-9464-1" TargetMode="External" /><Relationship Type="http://schemas.openxmlformats.org/officeDocument/2006/relationships/hyperlink" Id="rId48" Target="https://doi.org/10.1007/s13347-023-00672-1" TargetMode="External" /><Relationship Type="http://schemas.openxmlformats.org/officeDocument/2006/relationships/hyperlink" Id="rId35" Target="https://doi.org/10.1007/s43681-024-00454-1" TargetMode="External" /><Relationship Type="http://schemas.openxmlformats.org/officeDocument/2006/relationships/hyperlink" Id="rId57" Target="https://doi.org/10.1007/s44206-025-00203-9" TargetMode="External" /><Relationship Type="http://schemas.openxmlformats.org/officeDocument/2006/relationships/hyperlink" Id="rId60" Target="https://doi.org/10.1016/j.chbah.2024.100062" TargetMode="External" /><Relationship Type="http://schemas.openxmlformats.org/officeDocument/2006/relationships/hyperlink" Id="rId52" Target="https://doi.org/10.1016/j.cobeha.2019.04.004" TargetMode="External" /><Relationship Type="http://schemas.openxmlformats.org/officeDocument/2006/relationships/hyperlink" Id="rId30" Target="https://doi.org/10.1109/ACCESS.2025.3532853" TargetMode="External" /><Relationship Type="http://schemas.openxmlformats.org/officeDocument/2006/relationships/hyperlink" Id="rId37" Target="https://doi.org/10.1111/j.1467-8535.2007.00793.x" TargetMode="External" /><Relationship Type="http://schemas.openxmlformats.org/officeDocument/2006/relationships/hyperlink" Id="rId43" Target="https://doi.org/10.1145/3459990.3460712" TargetMode="External" /><Relationship Type="http://schemas.openxmlformats.org/officeDocument/2006/relationships/hyperlink" Id="rId39" Target="https://doi.org/10.1162/daed_a_01915" TargetMode="External" /><Relationship Type="http://schemas.openxmlformats.org/officeDocument/2006/relationships/hyperlink" Id="rId63" Target="https://doi.org/10.3390/educsci15091134" TargetMode="External" /><Relationship Type="http://schemas.openxmlformats.org/officeDocument/2006/relationships/hyperlink" Id="rId70" Target="https://doi.org/10.48550/arXiv.2308.03598" TargetMode="External" /><Relationship Type="http://schemas.openxmlformats.org/officeDocument/2006/relationships/hyperlink" Id="rId66" Target="https://doi.org/10.48550/arXiv.2507.00951" TargetMode="External" /><Relationship Type="http://schemas.openxmlformats.org/officeDocument/2006/relationships/hyperlink" Id="rId28" Target="https://fritzvd.github.io/proposal/proposal-2026-03.qm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Putting human agency at the forefront in agentic AI for adolescents</dc:title>
  <dc:creator/>
  <cp:keywords/>
  <dcterms:created xsi:type="dcterms:W3CDTF">2026-03-17T19:01:36Z</dcterms:created>
  <dcterms:modified xsi:type="dcterms:W3CDTF">2026-03-17T19:01:36Z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exclude">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preview-mode">
    <vt:lpwstr>raw</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