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Avoiding the Turing Trap in an age of GenAI for increased human agency and freedom</w:t>
      </w:r>
    </w:p>
    <w:bookmarkStart w:id="22" w:name="introduction"/>
    <w:p>
      <w:pPr>
        <w:pStyle w:val="Heading2"/>
      </w:pPr>
      <w:r>
        <w:t xml:space="preserve">Introduction</w:t>
      </w:r>
    </w:p>
    <w:p>
      <w:pPr>
        <w:pStyle w:val="FirstParagraph"/>
      </w:pPr>
      <w:r>
        <w:t xml:space="preserve">Technological advances that herald and drive societal changes over the last 12,000 years have only benefited ordinary people when</w:t>
      </w:r>
      <w:r>
        <w:t xml:space="preserve"> </w:t>
      </w:r>
      <w:r>
        <w:t xml:space="preserve">“landowning and religious elites were not dominant enough to impose their vision and extract all the surplus from the technologies”</w:t>
      </w:r>
      <w:r>
        <w:t xml:space="preserve"> </w:t>
      </w:r>
      <w:r>
        <w:t xml:space="preserve">(Johnson and Acemoglu 2023, 78)</w:t>
      </w:r>
      <w:r>
        <w:t xml:space="preserve">.</w:t>
      </w:r>
    </w:p>
    <w:p>
      <w:pPr>
        <w:pStyle w:val="BodyText"/>
      </w:pPr>
      <w:r>
        <w:t xml:space="preserve">We are again on the precipice of a big transformation for our society with the wide adoption of Artificial Intelligence in all kinds of sectors and embedded in all kinds of software. Generative Artificial Intelligence (genAI), a specific form of Artificial Intelligence harnessing the power of Large Language Models to</w:t>
      </w:r>
      <w:r>
        <w:t xml:space="preserve"> </w:t>
      </w:r>
      <w:r>
        <w:rPr>
          <w:i/>
          <w:iCs/>
        </w:rPr>
        <w:t xml:space="preserve">generate</w:t>
      </w:r>
      <w:r>
        <w:t xml:space="preserve"> </w:t>
      </w:r>
      <w:r>
        <w:t xml:space="preserve">new output based on vast and widely generalized data sources, is rapidly transforming our lives. Ranging from reshaping how we work</w:t>
      </w:r>
      <w:r>
        <w:t xml:space="preserve"> </w:t>
      </w:r>
      <w:r>
        <w:t xml:space="preserve">(Joshi 2025)</w:t>
      </w:r>
      <w:r>
        <w:t xml:space="preserve"> </w:t>
      </w:r>
      <w:r>
        <w:t xml:space="preserve">and how we learn</w:t>
      </w:r>
      <w:r>
        <w:t xml:space="preserve"> </w:t>
      </w:r>
      <w:r>
        <w:t xml:space="preserve">(Perifanou and Economides 2025)</w:t>
      </w:r>
      <w:r>
        <w:t xml:space="preserve">, to changing criminal behaviour</w:t>
      </w:r>
      <w:r>
        <w:t xml:space="preserve"> </w:t>
      </w:r>
      <w:r>
        <w:t xml:space="preserve">(Ferrara 2024)</w:t>
      </w:r>
      <w:r>
        <w:t xml:space="preserve"> </w:t>
      </w:r>
      <w:r>
        <w:t xml:space="preserve">and even influencing democratization</w:t>
      </w:r>
      <w:r>
        <w:t xml:space="preserve"> </w:t>
      </w:r>
      <w:r>
        <w:t xml:space="preserve">(Cupać, Schopmans, and Tuncer-Ebetürk 2024)</w:t>
      </w:r>
      <w:r>
        <w:t xml:space="preserve">.</w:t>
      </w:r>
    </w:p>
    <w:p>
      <w:pPr>
        <w:pStyle w:val="BodyText"/>
      </w:pPr>
      <w:r>
        <w:t xml:space="preserve">As with all transformative technologies there is however a real opportunity, in the increased productivity and the access to tools. Secondly a real threat, in the form of misinformation, criminal activity,</w:t>
      </w:r>
      <w:r>
        <w:t xml:space="preserve"> </w:t>
      </w:r>
      <w:r>
        <w:t xml:space="preserve">(Ferrara 2024)</w:t>
      </w:r>
      <w:r>
        <w:t xml:space="preserve"> </w:t>
      </w:r>
      <w:r>
        <w:t xml:space="preserve">and the undermining of autonomy</w:t>
      </w:r>
      <w:r>
        <w:t xml:space="preserve"> </w:t>
      </w:r>
      <w:r>
        <w:t xml:space="preserve">(Cupać, Schopmans, and Tuncer-Ebetürk 2024)</w:t>
      </w:r>
      <w:r>
        <w:t xml:space="preserve">. Thirdly a challenge for the use of resources and electricity</w:t>
      </w:r>
      <w:r>
        <w:t xml:space="preserve"> </w:t>
      </w:r>
      <w:r>
        <w:t xml:space="preserve">(Wilson 2025; Hotkar 2025; Lin et al. 2024)</w:t>
      </w:r>
      <w:r>
        <w:t xml:space="preserve"> </w:t>
      </w:r>
      <w:r>
        <w:t xml:space="preserve">that needs new solutions at scale.</w:t>
      </w:r>
    </w:p>
    <w:p>
      <w:pPr>
        <w:pStyle w:val="BodyText"/>
      </w:pPr>
      <w:r>
        <w:t xml:space="preserve">Technology is not merely a neutral phenomenon</w:t>
      </w:r>
      <w:r>
        <w:t xml:space="preserve"> </w:t>
      </w:r>
      <w:r>
        <w:t xml:space="preserve">(Heyndels 2023; Morrow 2014)</w:t>
      </w:r>
      <w:r>
        <w:t xml:space="preserve"> </w:t>
      </w:r>
      <w:r>
        <w:t xml:space="preserve">with inherently positive outcomes and there is a great need for finding solutions that benefit us all.</w:t>
      </w:r>
    </w:p>
    <w:bookmarkStart w:id="20" w:name="gap"/>
    <w:p>
      <w:pPr>
        <w:pStyle w:val="Heading3"/>
      </w:pPr>
      <w:r>
        <w:t xml:space="preserve">Gap</w:t>
      </w:r>
    </w:p>
    <w:p>
      <w:pPr>
        <w:pStyle w:val="FirstParagraph"/>
      </w:pPr>
      <w:r>
        <w:t xml:space="preserve">We do not know how AI will reshape the future of our human development, but there are some guesses we can make and historical lessons we can take into account. In all the major jumps in technological advancement that brought about societal change: steam engine, electricity, communications, digital communication and now the more broadly available statistical models that</w:t>
      </w:r>
      <w:r>
        <w:t xml:space="preserve"> </w:t>
      </w:r>
      <w:r>
        <w:t xml:space="preserve">“converse”</w:t>
      </w:r>
      <w:r>
        <w:t xml:space="preserve"> </w:t>
      </w:r>
      <w:r>
        <w:t xml:space="preserve">with us through chat like ChatGPT, we have seen that regulation and policy fueled by ideology (both benefiting the few or the many) has been the driver for the direction this advancement would take us</w:t>
      </w:r>
      <w:r>
        <w:t xml:space="preserve"> </w:t>
      </w:r>
      <w:r>
        <w:t xml:space="preserve">(Johnson and Acemoglu 2023, 57)</w:t>
      </w:r>
      <w:r>
        <w:t xml:space="preserve">.</w:t>
      </w:r>
      <w:r>
        <w:t xml:space="preserve"> </w:t>
      </w:r>
      <w:r>
        <w:t xml:space="preserve">Technological deterministic views of AI are suggesting we are moving towards an Artificial General Intelligence or</w:t>
      </w:r>
      <w:r>
        <w:t xml:space="preserve"> </w:t>
      </w:r>
      <w:r>
        <w:rPr>
          <w:i/>
          <w:iCs/>
        </w:rPr>
        <w:t xml:space="preserve">Singularity</w:t>
      </w:r>
      <w:r>
        <w:t xml:space="preserve">. The</w:t>
      </w:r>
    </w:p>
    <w:p>
      <w:pPr>
        <w:pStyle w:val="BodyText"/>
      </w:pPr>
      <w:r>
        <w:t xml:space="preserve">In the course of history, human development has been argued to increase where agency and liberty increase</w:t>
      </w:r>
      <w:r>
        <w:t xml:space="preserve"> </w:t>
      </w:r>
      <w:r>
        <w:t xml:space="preserve">(Prados de la Escosura 2022; Sen 1999)</w:t>
      </w:r>
      <w:r>
        <w:t xml:space="preserve">.</w:t>
      </w:r>
      <w:r>
        <w:t xml:space="preserve"> </w:t>
      </w:r>
      <w:r>
        <w:t xml:space="preserve">Much of the research regarding AI has been focussing on improving models [], effects for legislation [], impact on education [], but not increasing agency and freedom which the UNDP describes as indicative of improving human development</w:t>
      </w:r>
      <w:r>
        <w:t xml:space="preserve"> </w:t>
      </w:r>
      <w:r>
        <w:t xml:space="preserve">(UNDP 2025)</w:t>
      </w:r>
      <w:r>
        <w:t xml:space="preserve">.</w:t>
      </w:r>
    </w:p>
    <w:p>
      <w:pPr>
        <w:pStyle w:val="BodyText"/>
      </w:pPr>
      <w:r>
        <w:t xml:space="preserve">What seems to be lacking then from scientific discourse is a systematic analysis of the impact GenAI (or AI in general) is having on agency and human freedom. However such a thing is very difficult to quantify or measure by other means without being reductionist as it is a multidimensional construct</w:t>
      </w:r>
      <w:r>
        <w:t xml:space="preserve"> </w:t>
      </w:r>
      <w:r>
        <w:t xml:space="preserve">(Cauce and Gordon, n.d.)</w:t>
      </w:r>
      <w:r>
        <w:t xml:space="preserve">.</w:t>
      </w:r>
    </w:p>
    <w:p>
      <w:pPr>
        <w:pStyle w:val="BodyText"/>
      </w:pPr>
      <w:r>
        <w:t xml:space="preserve">The fact that GenAI is having an effect itself is plausible, but whether that effect is positive (e.g. lowering the barrier to entry to be able to write a script in a computer code) or negative (e.g. automation is taking over parts of the work) is uncertain.</w:t>
      </w:r>
    </w:p>
    <w:bookmarkEnd w:id="20"/>
    <w:bookmarkStart w:id="21" w:name="hook"/>
    <w:p>
      <w:pPr>
        <w:pStyle w:val="Heading3"/>
      </w:pPr>
      <w:r>
        <w:t xml:space="preserve">Hook</w:t>
      </w:r>
    </w:p>
    <w:p>
      <w:pPr>
        <w:pStyle w:val="FirstParagraph"/>
      </w:pPr>
      <w:r>
        <w:rPr>
          <w:i/>
          <w:iCs/>
        </w:rPr>
        <w:t xml:space="preserve">“Technological development has invested the powers that be with</w:t>
      </w:r>
      <w:r>
        <w:rPr>
          <w:i/>
          <w:iCs/>
        </w:rPr>
        <w:t xml:space="preserve"> </w:t>
      </w:r>
      <w:r>
        <w:rPr>
          <w:i/>
          <w:iCs/>
        </w:rPr>
        <w:t xml:space="preserve">not only more efficient, better and more deadly instruments of coercion but with the instruments of persuasion decidedly more efficient than those hitherto used by the political bosses..”</w:t>
      </w:r>
      <w:r>
        <w:t xml:space="preserve"> </w:t>
      </w:r>
      <w:r>
        <w:t xml:space="preserve">-</w:t>
      </w:r>
      <w:r>
        <w:t xml:space="preserve"> </w:t>
      </w:r>
      <w:r>
        <w:t xml:space="preserve">(Mathur, n.d.)</w:t>
      </w:r>
    </w:p>
    <w:p>
      <w:pPr>
        <w:pStyle w:val="BodyText"/>
      </w:pPr>
      <w:r>
        <w:t xml:space="preserve">We need to figure a way out of what</w:t>
      </w:r>
      <w:r>
        <w:t xml:space="preserve"> </w:t>
      </w:r>
      <w:r>
        <w:t xml:space="preserve">Brynjolfsson (2022)</w:t>
      </w:r>
      <w:r>
        <w:t xml:space="preserve"> </w:t>
      </w:r>
      <w:r>
        <w:t xml:space="preserve">calls the</w:t>
      </w:r>
      <w:r>
        <w:t xml:space="preserve"> </w:t>
      </w:r>
      <w:r>
        <w:t xml:space="preserve">“Turing Trap”</w:t>
      </w:r>
      <w:r>
        <w:t xml:space="preserve"> </w:t>
      </w:r>
      <w:r>
        <w:t xml:space="preserve">where technological and economic power create a concentration of political power and find solutions, patterns, systems, beyond policy where the benefits of transformational technology like GenAI are available to everyone.</w:t>
      </w:r>
    </w:p>
    <w:p>
      <w:pPr>
        <w:pStyle w:val="BodyText"/>
      </w:pPr>
      <w:r>
        <w:t xml:space="preserve">Students in higher education institutes are often already interacting with tools like ChatGPT</w:t>
      </w:r>
      <w:r>
        <w:t xml:space="preserve"> </w:t>
      </w:r>
      <w:r>
        <w:t xml:space="preserve">(Dai 2025)</w:t>
      </w:r>
      <w:r>
        <w:t xml:space="preserve">, so this study primarily focuses on that group.</w:t>
      </w:r>
    </w:p>
    <w:bookmarkEnd w:id="21"/>
    <w:bookmarkEnd w:id="22"/>
    <w:bookmarkStart w:id="24" w:name="research-questions"/>
    <w:p>
      <w:pPr>
        <w:pStyle w:val="Heading2"/>
      </w:pPr>
      <w:r>
        <w:t xml:space="preserve">Research Questions</w:t>
      </w:r>
    </w:p>
    <w:p>
      <w:pPr>
        <w:pStyle w:val="FirstParagraph"/>
      </w:pPr>
      <w:r>
        <w:t xml:space="preserve">What kind of effects is GenAI having on human agency and freedom among students?</w:t>
      </w:r>
    </w:p>
    <w:bookmarkStart w:id="23" w:name="sub-questions"/>
    <w:p>
      <w:pPr>
        <w:pStyle w:val="Heading3"/>
      </w:pPr>
      <w:r>
        <w:t xml:space="preserve">Sub-questions</w:t>
      </w:r>
    </w:p>
    <w:p>
      <w:pPr>
        <w:pStyle w:val="Compact"/>
        <w:numPr>
          <w:ilvl w:val="0"/>
          <w:numId w:val="1001"/>
        </w:numPr>
      </w:pPr>
      <w:r>
        <w:t xml:space="preserve">How are students interacting with GenAI?</w:t>
      </w:r>
    </w:p>
    <w:p>
      <w:pPr>
        <w:pStyle w:val="Compact"/>
        <w:numPr>
          <w:ilvl w:val="0"/>
          <w:numId w:val="1001"/>
        </w:numPr>
      </w:pPr>
      <w:r>
        <w:t xml:space="preserve">What kind of beliefs do students have about GenAI and its capabilities in relation to their own capabilities?</w:t>
      </w:r>
    </w:p>
    <w:p>
      <w:pPr>
        <w:pStyle w:val="Compact"/>
        <w:numPr>
          <w:ilvl w:val="0"/>
          <w:numId w:val="1001"/>
        </w:numPr>
      </w:pPr>
      <w:r>
        <w:t xml:space="preserve">How is GenAI affecting the execution of tasks for studying?</w:t>
      </w:r>
    </w:p>
    <w:bookmarkEnd w:id="23"/>
    <w:bookmarkEnd w:id="24"/>
    <w:bookmarkStart w:id="25" w:name="methodology"/>
    <w:p>
      <w:pPr>
        <w:pStyle w:val="Heading2"/>
      </w:pPr>
      <w:r>
        <w:t xml:space="preserve">Methodology</w:t>
      </w:r>
    </w:p>
    <w:bookmarkEnd w:id="25"/>
    <w:bookmarkStart w:id="52" w:name="references"/>
    <w:p>
      <w:pPr>
        <w:pStyle w:val="Heading2"/>
      </w:pPr>
      <w:r>
        <w:t xml:space="preserve">References</w:t>
      </w:r>
    </w:p>
    <w:bookmarkStart w:id="51" w:name="refs"/>
    <w:bookmarkStart w:id="27" w:name="ref-brynjolfssonTuringTrapPromise2022"/>
    <w:p>
      <w:pPr>
        <w:pStyle w:val="Bibliography"/>
      </w:pPr>
      <w:r>
        <w:t xml:space="preserve">Brynjolfsson, Erik. 2022.</w:t>
      </w:r>
      <w:r>
        <w:t xml:space="preserve"> </w:t>
      </w:r>
      <w:r>
        <w:t xml:space="preserve">“The</w:t>
      </w:r>
      <w:r>
        <w:t xml:space="preserve"> </w:t>
      </w:r>
      <w:r>
        <w:t xml:space="preserve">Turing Trap</w:t>
      </w:r>
      <w:r>
        <w:t xml:space="preserve">:</w:t>
      </w:r>
      <w:r>
        <w:t xml:space="preserve"> </w:t>
      </w:r>
      <w:r>
        <w:t xml:space="preserve">The Promise</w:t>
      </w:r>
      <w:r>
        <w:t xml:space="preserve"> </w:t>
      </w:r>
      <w:r>
        <w:t xml:space="preserve">&amp;</w:t>
      </w:r>
      <w:r>
        <w:t xml:space="preserve"> </w:t>
      </w:r>
      <w:r>
        <w:t xml:space="preserve">Peril</w:t>
      </w:r>
      <w:r>
        <w:t xml:space="preserve"> </w:t>
      </w:r>
      <w:r>
        <w:t xml:space="preserve">of</w:t>
      </w:r>
      <w:r>
        <w:t xml:space="preserve"> </w:t>
      </w:r>
      <w:r>
        <w:t xml:space="preserve">Human-Like Artificial Intelligence</w:t>
      </w:r>
      <w:r>
        <w:t xml:space="preserve">.”</w:t>
      </w:r>
      <w:r>
        <w:t xml:space="preserve"> </w:t>
      </w:r>
      <w:r>
        <w:rPr>
          <w:i/>
          <w:iCs/>
        </w:rPr>
        <w:t xml:space="preserve">Daedalus</w:t>
      </w:r>
      <w:r>
        <w:t xml:space="preserve"> </w:t>
      </w:r>
      <w:r>
        <w:t xml:space="preserve">151 (2): 272–87.</w:t>
      </w:r>
      <w:r>
        <w:t xml:space="preserve"> </w:t>
      </w:r>
      <w:hyperlink r:id="rId26">
        <w:r>
          <w:rPr>
            <w:rStyle w:val="Hyperlink"/>
          </w:rPr>
          <w:t xml:space="preserve">https://doi.org/10.1162/daed_a_01915</w:t>
        </w:r>
      </w:hyperlink>
      <w:r>
        <w:t xml:space="preserve">.</w:t>
      </w:r>
    </w:p>
    <w:bookmarkEnd w:id="27"/>
    <w:bookmarkStart w:id="28" w:name="ref-cauceMeasurementHumanAgency"/>
    <w:p>
      <w:pPr>
        <w:pStyle w:val="Bibliography"/>
      </w:pPr>
      <w:r>
        <w:t xml:space="preserve">Cauce, Ana Marie, and Edmund W Gordon. n.d.</w:t>
      </w:r>
      <w:r>
        <w:t xml:space="preserve"> </w:t>
      </w:r>
      <w:r>
        <w:t xml:space="preserve">“Toward the</w:t>
      </w:r>
      <w:r>
        <w:t xml:space="preserve"> </w:t>
      </w:r>
      <w:r>
        <w:t xml:space="preserve">Measurement</w:t>
      </w:r>
      <w:r>
        <w:t xml:space="preserve"> </w:t>
      </w:r>
      <w:r>
        <w:t xml:space="preserve">of</w:t>
      </w:r>
      <w:r>
        <w:t xml:space="preserve"> </w:t>
      </w:r>
      <w:r>
        <w:t xml:space="preserve">Human Agency</w:t>
      </w:r>
      <w:r>
        <w:t xml:space="preserve"> </w:t>
      </w:r>
      <w:r>
        <w:t xml:space="preserve">and the</w:t>
      </w:r>
      <w:r>
        <w:t xml:space="preserve"> </w:t>
      </w:r>
      <w:r>
        <w:t xml:space="preserve">Disposition</w:t>
      </w:r>
      <w:r>
        <w:t xml:space="preserve"> </w:t>
      </w:r>
      <w:r>
        <w:t xml:space="preserve">to</w:t>
      </w:r>
      <w:r>
        <w:t xml:space="preserve"> </w:t>
      </w:r>
      <w:r>
        <w:t xml:space="preserve">Express It</w:t>
      </w:r>
      <w:r>
        <w:t xml:space="preserve">.”</w:t>
      </w:r>
    </w:p>
    <w:bookmarkEnd w:id="28"/>
    <w:bookmarkStart w:id="30" w:name="X11753044df99c9f5661779529477c53c9dc0658"/>
    <w:p>
      <w:pPr>
        <w:pStyle w:val="Bibliography"/>
      </w:pPr>
      <w:r>
        <w:t xml:space="preserve">Cupać, Jelena, Hendrik Schopmans, and İrem Tuncer-Ebetürk. 2024.</w:t>
      </w:r>
      <w:r>
        <w:t xml:space="preserve"> </w:t>
      </w:r>
      <w:r>
        <w:t xml:space="preserve">“Democratization in the Age of Artificial Intelligence: Introduction to the Special Issue.”</w:t>
      </w:r>
      <w:r>
        <w:t xml:space="preserve"> </w:t>
      </w:r>
      <w:r>
        <w:rPr>
          <w:i/>
          <w:iCs/>
        </w:rPr>
        <w:t xml:space="preserve">Democratization</w:t>
      </w:r>
      <w:r>
        <w:t xml:space="preserve"> </w:t>
      </w:r>
      <w:r>
        <w:t xml:space="preserve">31 (5): 899–921.</w:t>
      </w:r>
      <w:r>
        <w:t xml:space="preserve"> </w:t>
      </w:r>
      <w:hyperlink r:id="rId29">
        <w:r>
          <w:rPr>
            <w:rStyle w:val="Hyperlink"/>
          </w:rPr>
          <w:t xml:space="preserve">https://doi.org/10.1080/13510347.2024.2338852</w:t>
        </w:r>
      </w:hyperlink>
      <w:r>
        <w:t xml:space="preserve">.</w:t>
      </w:r>
    </w:p>
    <w:bookmarkEnd w:id="30"/>
    <w:bookmarkStart w:id="32" w:name="ref-daiWhyStudentsUse2025"/>
    <w:p>
      <w:pPr>
        <w:pStyle w:val="Bibliography"/>
      </w:pPr>
      <w:r>
        <w:t xml:space="preserve">Dai, Yun. 2025.</w:t>
      </w:r>
      <w:r>
        <w:t xml:space="preserve"> </w:t>
      </w:r>
      <w:r>
        <w:t xml:space="preserve">“Why Students Use or Not Use Generative</w:t>
      </w:r>
      <w:r>
        <w:t xml:space="preserve"> </w:t>
      </w:r>
      <w:r>
        <w:t xml:space="preserve">AI</w:t>
      </w:r>
      <w:r>
        <w:t xml:space="preserve">:</w:t>
      </w:r>
      <w:r>
        <w:t xml:space="preserve"> </w:t>
      </w:r>
      <w:r>
        <w:t xml:space="preserve">Student</w:t>
      </w:r>
      <w:r>
        <w:t xml:space="preserve"> </w:t>
      </w:r>
      <w:r>
        <w:t xml:space="preserve">Conceptions, Concerns, and Implications for Engineering Education.”</w:t>
      </w:r>
      <w:r>
        <w:t xml:space="preserve"> </w:t>
      </w:r>
      <w:r>
        <w:rPr>
          <w:i/>
          <w:iCs/>
        </w:rPr>
        <w:t xml:space="preserve">Digital Engineering</w:t>
      </w:r>
      <w:r>
        <w:t xml:space="preserve"> </w:t>
      </w:r>
      <w:r>
        <w:t xml:space="preserve">4 (March): 100019.</w:t>
      </w:r>
      <w:r>
        <w:t xml:space="preserve"> </w:t>
      </w:r>
      <w:hyperlink r:id="rId31">
        <w:r>
          <w:rPr>
            <w:rStyle w:val="Hyperlink"/>
          </w:rPr>
          <w:t xml:space="preserve">https://doi.org/10.1016/j.dte.2024.100019</w:t>
        </w:r>
      </w:hyperlink>
      <w:r>
        <w:t xml:space="preserve">.</w:t>
      </w:r>
    </w:p>
    <w:bookmarkEnd w:id="32"/>
    <w:bookmarkStart w:id="34" w:name="ref-ferraraGenAIHumanityNefarious2024"/>
    <w:p>
      <w:pPr>
        <w:pStyle w:val="Bibliography"/>
      </w:pPr>
      <w:r>
        <w:t xml:space="preserve">Ferrara, Emilio. 2024.</w:t>
      </w:r>
      <w:r>
        <w:t xml:space="preserve"> </w:t>
      </w:r>
      <w:r>
        <w:t xml:space="preserve">“</w:t>
      </w:r>
      <w:r>
        <w:t xml:space="preserve">GenAI</w:t>
      </w:r>
      <w:r>
        <w:t xml:space="preserve"> </w:t>
      </w:r>
      <w:r>
        <w:t xml:space="preserve">Against Humanity: Nefarious Applications of Generative Artificial Intelligence and Large Language Models.”</w:t>
      </w:r>
      <w:r>
        <w:t xml:space="preserve"> </w:t>
      </w:r>
      <w:r>
        <w:rPr>
          <w:i/>
          <w:iCs/>
        </w:rPr>
        <w:t xml:space="preserve">Journal of Computational Social Science</w:t>
      </w:r>
      <w:r>
        <w:t xml:space="preserve"> </w:t>
      </w:r>
      <w:r>
        <w:t xml:space="preserve">7 (1): 549–69.</w:t>
      </w:r>
      <w:r>
        <w:t xml:space="preserve"> </w:t>
      </w:r>
      <w:hyperlink r:id="rId33">
        <w:r>
          <w:rPr>
            <w:rStyle w:val="Hyperlink"/>
          </w:rPr>
          <w:t xml:space="preserve">https://doi.org/10.1007/s42001-024-00250-1</w:t>
        </w:r>
      </w:hyperlink>
      <w:r>
        <w:t xml:space="preserve">.</w:t>
      </w:r>
    </w:p>
    <w:bookmarkEnd w:id="34"/>
    <w:bookmarkStart w:id="36" w:name="ref-heyndelsTechnologyNeutrality2023"/>
    <w:p>
      <w:pPr>
        <w:pStyle w:val="Bibliography"/>
      </w:pPr>
      <w:r>
        <w:t xml:space="preserve">Heyndels, Sybren. 2023.</w:t>
      </w:r>
      <w:r>
        <w:t xml:space="preserve"> </w:t>
      </w:r>
      <w:r>
        <w:t xml:space="preserve">“Technology and</w:t>
      </w:r>
      <w:r>
        <w:t xml:space="preserve"> </w:t>
      </w:r>
      <w:r>
        <w:t xml:space="preserve">Neutrality</w:t>
      </w:r>
      <w:r>
        <w:t xml:space="preserve">.”</w:t>
      </w:r>
      <w:r>
        <w:t xml:space="preserve"> </w:t>
      </w:r>
      <w:r>
        <w:rPr>
          <w:i/>
          <w:iCs/>
        </w:rPr>
        <w:t xml:space="preserve">Philosophy &amp; Technology</w:t>
      </w:r>
      <w:r>
        <w:t xml:space="preserve"> </w:t>
      </w:r>
      <w:r>
        <w:t xml:space="preserve">36 (4): 75.</w:t>
      </w:r>
      <w:r>
        <w:t xml:space="preserve"> </w:t>
      </w:r>
      <w:hyperlink r:id="rId35">
        <w:r>
          <w:rPr>
            <w:rStyle w:val="Hyperlink"/>
          </w:rPr>
          <w:t xml:space="preserve">https://doi.org/10.1007/s13347-023-00672-1</w:t>
        </w:r>
      </w:hyperlink>
      <w:r>
        <w:t xml:space="preserve">.</w:t>
      </w:r>
    </w:p>
    <w:bookmarkEnd w:id="36"/>
    <w:bookmarkStart w:id="37" w:name="ref-hotkarWhyCoolingCosts2025"/>
    <w:p>
      <w:pPr>
        <w:pStyle w:val="Bibliography"/>
      </w:pPr>
      <w:r>
        <w:t xml:space="preserve">Hotkar, Pranav. 2025.</w:t>
      </w:r>
      <w:r>
        <w:t xml:space="preserve"> </w:t>
      </w:r>
      <w:r>
        <w:t xml:space="preserve">“Why</w:t>
      </w:r>
      <w:r>
        <w:t xml:space="preserve"> </w:t>
      </w:r>
      <w:r>
        <w:t xml:space="preserve">Cooling Costs Are</w:t>
      </w:r>
      <w:r>
        <w:t xml:space="preserve"> </w:t>
      </w:r>
      <w:r>
        <w:t xml:space="preserve">the</w:t>
      </w:r>
      <w:r>
        <w:t xml:space="preserve"> </w:t>
      </w:r>
      <w:r>
        <w:t xml:space="preserve">New Bottleneck</w:t>
      </w:r>
      <w:r>
        <w:t xml:space="preserve"> </w:t>
      </w:r>
      <w:r>
        <w:t xml:space="preserve">in</w:t>
      </w:r>
      <w:r>
        <w:t xml:space="preserve"> </w:t>
      </w:r>
      <w:r>
        <w:t xml:space="preserve">AI Data Centers</w:t>
      </w:r>
      <w:r>
        <w:t xml:space="preserve">.”</w:t>
      </w:r>
      <w:r>
        <w:t xml:space="preserve"> </w:t>
      </w:r>
      <w:r>
        <w:t xml:space="preserve">https://dcpulse.com/article/enterprise-data-center-cooling-cost-ratio-ai.</w:t>
      </w:r>
    </w:p>
    <w:bookmarkEnd w:id="37"/>
    <w:bookmarkStart w:id="38" w:name="ref-johnsonPowerProgressOur2023"/>
    <w:p>
      <w:pPr>
        <w:pStyle w:val="Bibliography"/>
      </w:pPr>
      <w:r>
        <w:t xml:space="preserve">Johnson, Simon, and Daron Acemoglu. 2023.</w:t>
      </w:r>
      <w:r>
        <w:t xml:space="preserve"> </w:t>
      </w:r>
      <w:r>
        <w:rPr>
          <w:i/>
          <w:iCs/>
        </w:rPr>
        <w:t xml:space="preserve">Power and</w:t>
      </w:r>
      <w:r>
        <w:rPr>
          <w:i/>
          <w:iCs/>
        </w:rPr>
        <w:t xml:space="preserve"> </w:t>
      </w:r>
      <w:r>
        <w:rPr>
          <w:i/>
          <w:iCs/>
        </w:rPr>
        <w:t xml:space="preserve">Progress</w:t>
      </w:r>
      <w:r>
        <w:rPr>
          <w:i/>
          <w:iCs/>
        </w:rPr>
        <w:t xml:space="preserve">:</w:t>
      </w:r>
      <w:r>
        <w:rPr>
          <w:i/>
          <w:iCs/>
        </w:rPr>
        <w:t xml:space="preserve"> </w:t>
      </w:r>
      <w:r>
        <w:rPr>
          <w:i/>
          <w:iCs/>
        </w:rPr>
        <w:t xml:space="preserve">Our Thousand-Year Struggle Over Technology</w:t>
      </w:r>
      <w:r>
        <w:rPr>
          <w:i/>
          <w:iCs/>
        </w:rPr>
        <w:t xml:space="preserve"> </w:t>
      </w:r>
      <w:r>
        <w:rPr>
          <w:i/>
          <w:iCs/>
        </w:rPr>
        <w:t xml:space="preserve">and</w:t>
      </w:r>
      <w:r>
        <w:rPr>
          <w:i/>
          <w:iCs/>
        </w:rPr>
        <w:t xml:space="preserve"> </w:t>
      </w:r>
      <w:r>
        <w:rPr>
          <w:i/>
          <w:iCs/>
        </w:rPr>
        <w:t xml:space="preserve">Prosperity</w:t>
      </w:r>
      <w:r>
        <w:t xml:space="preserve">. Hachette UK.</w:t>
      </w:r>
    </w:p>
    <w:bookmarkEnd w:id="38"/>
    <w:bookmarkStart w:id="39" w:name="ref-joshi2025transformative"/>
    <w:p>
      <w:pPr>
        <w:pStyle w:val="Bibliography"/>
      </w:pPr>
      <w:r>
        <w:t xml:space="preserve">Joshi, Satyadhar. 2025.</w:t>
      </w:r>
      <w:r>
        <w:t xml:space="preserve"> </w:t>
      </w:r>
      <w:r>
        <w:t xml:space="preserve">“The Transformative Role of Agentic</w:t>
      </w:r>
      <w:r>
        <w:t xml:space="preserve"> </w:t>
      </w:r>
      <w:r>
        <w:t xml:space="preserve">GenAI</w:t>
      </w:r>
      <w:r>
        <w:t xml:space="preserve"> </w:t>
      </w:r>
      <w:r>
        <w:t xml:space="preserve">in Shaping Workforce Development and Education in the</w:t>
      </w:r>
      <w:r>
        <w:t xml:space="preserve"> </w:t>
      </w:r>
      <w:r>
        <w:t xml:space="preserve">US</w:t>
      </w:r>
      <w:r>
        <w:t xml:space="preserve">.”</w:t>
      </w:r>
      <w:r>
        <w:t xml:space="preserve"> </w:t>
      </w:r>
      <w:r>
        <w:rPr>
          <w:i/>
          <w:iCs/>
        </w:rPr>
        <w:t xml:space="preserve">Available at SSRN 5133376</w:t>
      </w:r>
      <w:r>
        <w:t xml:space="preserve">.</w:t>
      </w:r>
    </w:p>
    <w:bookmarkEnd w:id="39"/>
    <w:bookmarkStart w:id="41" w:name="ref-linExplodingAIPower2024"/>
    <w:p>
      <w:pPr>
        <w:pStyle w:val="Bibliography"/>
      </w:pPr>
      <w:r>
        <w:t xml:space="preserve">Lin, Liuzixuan, Rajini Wijayawardana, Varsha Rao, Hai Nguyen, Emmanuel Wedan Gnibga, and Andrew A. Chien. 2024.</w:t>
      </w:r>
      <w:r>
        <w:t xml:space="preserve"> </w:t>
      </w:r>
      <w:r>
        <w:t xml:space="preserve">“Exploding</w:t>
      </w:r>
      <w:r>
        <w:t xml:space="preserve"> </w:t>
      </w:r>
      <w:r>
        <w:t xml:space="preserve">AI Power Use</w:t>
      </w:r>
      <w:r>
        <w:t xml:space="preserve">: An</w:t>
      </w:r>
      <w:r>
        <w:t xml:space="preserve"> </w:t>
      </w:r>
      <w:r>
        <w:t xml:space="preserve">Opportunity</w:t>
      </w:r>
      <w:r>
        <w:t xml:space="preserve"> </w:t>
      </w:r>
      <w:r>
        <w:t xml:space="preserve">to</w:t>
      </w:r>
      <w:r>
        <w:t xml:space="preserve"> </w:t>
      </w:r>
      <w:r>
        <w:t xml:space="preserve">Rethink Grid Planning</w:t>
      </w:r>
      <w:r>
        <w:t xml:space="preserve"> </w:t>
      </w:r>
      <w:r>
        <w:t xml:space="preserve">and</w:t>
      </w:r>
      <w:r>
        <w:t xml:space="preserve"> </w:t>
      </w:r>
      <w:r>
        <w:t xml:space="preserve">Management</w:t>
      </w:r>
      <w:r>
        <w:t xml:space="preserve">.”</w:t>
      </w:r>
      <w:r>
        <w:t xml:space="preserve"> </w:t>
      </w:r>
      <w:r>
        <w:t xml:space="preserve">In</w:t>
      </w:r>
      <w:r>
        <w:t xml:space="preserve"> </w:t>
      </w:r>
      <w:r>
        <w:rPr>
          <w:i/>
          <w:iCs/>
        </w:rPr>
        <w:t xml:space="preserve">The 15th</w:t>
      </w:r>
      <w:r>
        <w:rPr>
          <w:i/>
          <w:iCs/>
        </w:rPr>
        <w:t xml:space="preserve"> </w:t>
      </w:r>
      <w:r>
        <w:rPr>
          <w:i/>
          <w:iCs/>
        </w:rPr>
        <w:t xml:space="preserve">ACM International Conference</w:t>
      </w:r>
      <w:r>
        <w:rPr>
          <w:i/>
          <w:iCs/>
        </w:rPr>
        <w:t xml:space="preserve"> </w:t>
      </w:r>
      <w:r>
        <w:rPr>
          <w:i/>
          <w:iCs/>
        </w:rPr>
        <w:t xml:space="preserve">on</w:t>
      </w:r>
      <w:r>
        <w:rPr>
          <w:i/>
          <w:iCs/>
        </w:rPr>
        <w:t xml:space="preserve"> </w:t>
      </w:r>
      <w:r>
        <w:rPr>
          <w:i/>
          <w:iCs/>
        </w:rPr>
        <w:t xml:space="preserve">Future</w:t>
      </w:r>
      <w:r>
        <w:rPr>
          <w:i/>
          <w:iCs/>
        </w:rPr>
        <w:t xml:space="preserve"> </w:t>
      </w:r>
      <w:r>
        <w:rPr>
          <w:i/>
          <w:iCs/>
        </w:rPr>
        <w:t xml:space="preserve">and</w:t>
      </w:r>
      <w:r>
        <w:rPr>
          <w:i/>
          <w:iCs/>
        </w:rPr>
        <w:t xml:space="preserve"> </w:t>
      </w:r>
      <w:r>
        <w:rPr>
          <w:i/>
          <w:iCs/>
        </w:rPr>
        <w:t xml:space="preserve">Sustainable Energy Systems</w:t>
      </w:r>
      <w:r>
        <w:t xml:space="preserve">, 434–41. Singapore Singapore: ACM.</w:t>
      </w:r>
      <w:r>
        <w:t xml:space="preserve"> </w:t>
      </w:r>
      <w:hyperlink r:id="rId40">
        <w:r>
          <w:rPr>
            <w:rStyle w:val="Hyperlink"/>
          </w:rPr>
          <w:t xml:space="preserve">https://doi.org/10.1145/3632775.3661959</w:t>
        </w:r>
      </w:hyperlink>
      <w:r>
        <w:t xml:space="preserve">.</w:t>
      </w:r>
    </w:p>
    <w:bookmarkEnd w:id="41"/>
    <w:bookmarkStart w:id="42" w:name="ref-mathurTechnologyFreedom"/>
    <w:p>
      <w:pPr>
        <w:pStyle w:val="Bibliography"/>
      </w:pPr>
      <w:r>
        <w:t xml:space="preserve">Mathur, A B. n.d.</w:t>
      </w:r>
      <w:r>
        <w:t xml:space="preserve"> </w:t>
      </w:r>
      <w:r>
        <w:t xml:space="preserve">“Technology and</w:t>
      </w:r>
      <w:r>
        <w:t xml:space="preserve"> </w:t>
      </w:r>
      <w:r>
        <w:t xml:space="preserve">Freedom</w:t>
      </w:r>
      <w:r>
        <w:t xml:space="preserve">.”</w:t>
      </w:r>
    </w:p>
    <w:bookmarkEnd w:id="42"/>
    <w:bookmarkStart w:id="44" w:name="ref-morrowWhenTechnologiesMakes2014"/>
    <w:p>
      <w:pPr>
        <w:pStyle w:val="Bibliography"/>
      </w:pPr>
      <w:r>
        <w:t xml:space="preserve">Morrow, David R. 2014.</w:t>
      </w:r>
      <w:r>
        <w:t xml:space="preserve"> </w:t>
      </w:r>
      <w:r>
        <w:t xml:space="preserve">“When</w:t>
      </w:r>
      <w:r>
        <w:t xml:space="preserve"> </w:t>
      </w:r>
      <w:r>
        <w:t xml:space="preserve">Technologies Makes Good People Do Bad Things</w:t>
      </w:r>
      <w:r>
        <w:t xml:space="preserve">:</w:t>
      </w:r>
      <w:r>
        <w:t xml:space="preserve"> </w:t>
      </w:r>
      <w:r>
        <w:t xml:space="preserve">Another Argument Against</w:t>
      </w:r>
      <w:r>
        <w:t xml:space="preserve"> </w:t>
      </w:r>
      <w:r>
        <w:t xml:space="preserve">the</w:t>
      </w:r>
      <w:r>
        <w:t xml:space="preserve"> </w:t>
      </w:r>
      <w:r>
        <w:t xml:space="preserve">Value-Neutrality</w:t>
      </w:r>
      <w:r>
        <w:t xml:space="preserve"> </w:t>
      </w:r>
      <w:r>
        <w:t xml:space="preserve">of</w:t>
      </w:r>
      <w:r>
        <w:t xml:space="preserve"> </w:t>
      </w:r>
      <w:r>
        <w:t xml:space="preserve">Technologies</w:t>
      </w:r>
      <w:r>
        <w:t xml:space="preserve">.”</w:t>
      </w:r>
      <w:r>
        <w:t xml:space="preserve"> </w:t>
      </w:r>
      <w:r>
        <w:rPr>
          <w:i/>
          <w:iCs/>
        </w:rPr>
        <w:t xml:space="preserve">Science and Engineering Ethics</w:t>
      </w:r>
      <w:r>
        <w:t xml:space="preserve"> </w:t>
      </w:r>
      <w:r>
        <w:t xml:space="preserve">20 (2): 329–43.</w:t>
      </w:r>
      <w:r>
        <w:t xml:space="preserve"> </w:t>
      </w:r>
      <w:hyperlink r:id="rId43">
        <w:r>
          <w:rPr>
            <w:rStyle w:val="Hyperlink"/>
          </w:rPr>
          <w:t xml:space="preserve">https://doi.org/10.1007/s11948-013-9464-1</w:t>
        </w:r>
      </w:hyperlink>
      <w:r>
        <w:t xml:space="preserve">.</w:t>
      </w:r>
    </w:p>
    <w:bookmarkEnd w:id="44"/>
    <w:bookmarkStart w:id="46" w:name="ref-perifanouCollaborativeUsesGenAI2025"/>
    <w:p>
      <w:pPr>
        <w:pStyle w:val="Bibliography"/>
      </w:pPr>
      <w:r>
        <w:t xml:space="preserve">Perifanou, Maria, and Anastasios A. Economides. 2025.</w:t>
      </w:r>
      <w:r>
        <w:t xml:space="preserve"> </w:t>
      </w:r>
      <w:r>
        <w:t xml:space="preserve">“Collaborative</w:t>
      </w:r>
      <w:r>
        <w:t xml:space="preserve"> </w:t>
      </w:r>
      <w:r>
        <w:t xml:space="preserve">Uses</w:t>
      </w:r>
      <w:r>
        <w:t xml:space="preserve"> </w:t>
      </w:r>
      <w:r>
        <w:t xml:space="preserve">of</w:t>
      </w:r>
      <w:r>
        <w:t xml:space="preserve"> </w:t>
      </w:r>
      <w:r>
        <w:t xml:space="preserve">GenAI Tools</w:t>
      </w:r>
      <w:r>
        <w:t xml:space="preserve"> </w:t>
      </w:r>
      <w:r>
        <w:t xml:space="preserve">in</w:t>
      </w:r>
      <w:r>
        <w:t xml:space="preserve"> </w:t>
      </w:r>
      <w:r>
        <w:t xml:space="preserve">Project-Based Learning</w:t>
      </w:r>
      <w:r>
        <w:t xml:space="preserve">.”</w:t>
      </w:r>
      <w:r>
        <w:t xml:space="preserve"> </w:t>
      </w:r>
      <w:r>
        <w:rPr>
          <w:i/>
          <w:iCs/>
        </w:rPr>
        <w:t xml:space="preserve">Education Sciences</w:t>
      </w:r>
      <w:r>
        <w:t xml:space="preserve"> </w:t>
      </w:r>
      <w:r>
        <w:t xml:space="preserve">15 (3): 354.</w:t>
      </w:r>
      <w:r>
        <w:t xml:space="preserve"> </w:t>
      </w:r>
      <w:hyperlink r:id="rId45">
        <w:r>
          <w:rPr>
            <w:rStyle w:val="Hyperlink"/>
          </w:rPr>
          <w:t xml:space="preserve">https://doi.org/10.3390/educsci15030354</w:t>
        </w:r>
      </w:hyperlink>
      <w:r>
        <w:t xml:space="preserve">.</w:t>
      </w:r>
    </w:p>
    <w:bookmarkEnd w:id="46"/>
    <w:bookmarkStart w:id="47" w:name="ref-PradosdelaEscosura_2022"/>
    <w:p>
      <w:pPr>
        <w:pStyle w:val="Bibliography"/>
      </w:pPr>
      <w:r>
        <w:t xml:space="preserve">Prados de la Escosura, Leandro. 2022.</w:t>
      </w:r>
      <w:r>
        <w:t xml:space="preserve"> </w:t>
      </w:r>
      <w:r>
        <w:rPr>
          <w:i/>
          <w:iCs/>
        </w:rPr>
        <w:t xml:space="preserve">Human Development and the Path to Freedom: 1870 to the Present</w:t>
      </w:r>
      <w:r>
        <w:t xml:space="preserve">. New Approaches to Economic and Social History. Cambridge: Cambridge University Press.</w:t>
      </w:r>
    </w:p>
    <w:bookmarkEnd w:id="47"/>
    <w:bookmarkStart w:id="48" w:name="ref-senDevelopmentFreedom1999"/>
    <w:p>
      <w:pPr>
        <w:pStyle w:val="Bibliography"/>
      </w:pPr>
      <w:r>
        <w:t xml:space="preserve">Sen, Amartya. 1999.</w:t>
      </w:r>
      <w:r>
        <w:t xml:space="preserve"> </w:t>
      </w:r>
      <w:r>
        <w:rPr>
          <w:i/>
          <w:iCs/>
        </w:rPr>
        <w:t xml:space="preserve">Development as</w:t>
      </w:r>
      <w:r>
        <w:rPr>
          <w:i/>
          <w:iCs/>
        </w:rPr>
        <w:t xml:space="preserve"> </w:t>
      </w:r>
      <w:r>
        <w:rPr>
          <w:i/>
          <w:iCs/>
        </w:rPr>
        <w:t xml:space="preserve">Freedom</w:t>
      </w:r>
      <w:r>
        <w:t xml:space="preserve">. Oxford University Press.</w:t>
      </w:r>
    </w:p>
    <w:bookmarkEnd w:id="48"/>
    <w:bookmarkStart w:id="49" w:name="ref-undpHumanDevelopmentReport2025"/>
    <w:p>
      <w:pPr>
        <w:pStyle w:val="Bibliography"/>
      </w:pPr>
      <w:r>
        <w:t xml:space="preserve">UNDP. 2025.</w:t>
      </w:r>
      <w:r>
        <w:t xml:space="preserve"> </w:t>
      </w:r>
      <w:r>
        <w:t xml:space="preserve">“Human Development Report 2025.”</w:t>
      </w:r>
      <w:r>
        <w:t xml:space="preserve"> </w:t>
      </w:r>
      <w:r>
        <w:rPr>
          <w:i/>
          <w:iCs/>
        </w:rPr>
        <w:t xml:space="preserve">UNDP (United Nations Development Programme)</w:t>
      </w:r>
      <w:r>
        <w:t xml:space="preserve">.</w:t>
      </w:r>
    </w:p>
    <w:bookmarkEnd w:id="49"/>
    <w:bookmarkStart w:id="50" w:name="ref-wilsonDataCenterRack2025"/>
    <w:p>
      <w:pPr>
        <w:pStyle w:val="Bibliography"/>
      </w:pPr>
      <w:r>
        <w:t xml:space="preserve">Wilson, Michael. 2025.</w:t>
      </w:r>
      <w:r>
        <w:t xml:space="preserve"> </w:t>
      </w:r>
      <w:r>
        <w:t xml:space="preserve">“Data</w:t>
      </w:r>
      <w:r>
        <w:t xml:space="preserve"> </w:t>
      </w:r>
      <w:r>
        <w:t xml:space="preserve">Center Rack Power Costs</w:t>
      </w:r>
      <w:r>
        <w:t xml:space="preserve">:</w:t>
      </w:r>
      <w:r>
        <w:t xml:space="preserve"> </w:t>
      </w:r>
      <w:r>
        <w:t xml:space="preserve">A Condensed Analysis</w:t>
      </w:r>
      <w:r>
        <w:t xml:space="preserve">.”</w:t>
      </w:r>
      <w:r>
        <w:t xml:space="preserve"> </w:t>
      </w:r>
      <w:r>
        <w:rPr>
          <w:i/>
          <w:iCs/>
        </w:rPr>
        <w:t xml:space="preserve">Nlyte</w:t>
      </w:r>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oi.org/10.1007/s11948-013-9464-1" TargetMode="External" /><Relationship Type="http://schemas.openxmlformats.org/officeDocument/2006/relationships/hyperlink" Id="rId35" Target="https://doi.org/10.1007/s13347-023-00672-1" TargetMode="External" /><Relationship Type="http://schemas.openxmlformats.org/officeDocument/2006/relationships/hyperlink" Id="rId33" Target="https://doi.org/10.1007/s42001-024-00250-1" TargetMode="External" /><Relationship Type="http://schemas.openxmlformats.org/officeDocument/2006/relationships/hyperlink" Id="rId31" Target="https://doi.org/10.1016/j.dte.2024.100019" TargetMode="External" /><Relationship Type="http://schemas.openxmlformats.org/officeDocument/2006/relationships/hyperlink" Id="rId29" Target="https://doi.org/10.1080/13510347.2024.2338852" TargetMode="External" /><Relationship Type="http://schemas.openxmlformats.org/officeDocument/2006/relationships/hyperlink" Id="rId40" Target="https://doi.org/10.1145/3632775.3661959" TargetMode="External" /><Relationship Type="http://schemas.openxmlformats.org/officeDocument/2006/relationships/hyperlink" Id="rId26" Target="https://doi.org/10.1162/daed_a_01915" TargetMode="External" /><Relationship Type="http://schemas.openxmlformats.org/officeDocument/2006/relationships/hyperlink" Id="rId45" Target="https://doi.org/10.3390/educsci15030354"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7/s11948-013-9464-1" TargetMode="External" /><Relationship Type="http://schemas.openxmlformats.org/officeDocument/2006/relationships/hyperlink" Id="rId35" Target="https://doi.org/10.1007/s13347-023-00672-1" TargetMode="External" /><Relationship Type="http://schemas.openxmlformats.org/officeDocument/2006/relationships/hyperlink" Id="rId33" Target="https://doi.org/10.1007/s42001-024-00250-1" TargetMode="External" /><Relationship Type="http://schemas.openxmlformats.org/officeDocument/2006/relationships/hyperlink" Id="rId31" Target="https://doi.org/10.1016/j.dte.2024.100019" TargetMode="External" /><Relationship Type="http://schemas.openxmlformats.org/officeDocument/2006/relationships/hyperlink" Id="rId29" Target="https://doi.org/10.1080/13510347.2024.2338852" TargetMode="External" /><Relationship Type="http://schemas.openxmlformats.org/officeDocument/2006/relationships/hyperlink" Id="rId40" Target="https://doi.org/10.1145/3632775.3661959" TargetMode="External" /><Relationship Type="http://schemas.openxmlformats.org/officeDocument/2006/relationships/hyperlink" Id="rId26" Target="https://doi.org/10.1162/daed_a_01915" TargetMode="External" /><Relationship Type="http://schemas.openxmlformats.org/officeDocument/2006/relationships/hyperlink" Id="rId45" Target="https://doi.org/10.3390/educsci150303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Avoiding the Turing Trap in an age of GenAI for increased human agency and freedom</dc:title>
  <dc:creator/>
  <cp:keywords/>
  <dcterms:created xsi:type="dcterms:W3CDTF">2026-02-12T15:35:39Z</dcterms:created>
  <dcterms:modified xsi:type="dcterms:W3CDTF">2026-02-12T15:35:39Z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xclude">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preview-mode">
    <vt:lpwstr>raw</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