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STATEMENT OF WORK</w:t>
      </w:r>
    </w:p>
    <w:p>
      <w:pPr>
        <w:spacing w:after="120"/>
        <w:jc w:val="center"/>
      </w:pPr>
      <w:r>
        <w:rPr>
          <w:rFonts w:ascii="Arial" w:cs="Arial" w:eastAsia="Arial" w:hAnsi="Arial"/>
          <w:color w:val="2E75B6"/>
          <w:sz w:val="26"/>
          <w:szCs w:val="26"/>
        </w:rPr>
        <w:t xml:space="preserve">Managed Endpoints, SOC 2 Compliance &amp;</w:t>
      </w:r>
    </w:p>
    <w:p>
      <w:pPr>
        <w:spacing w:after="120"/>
        <w:jc w:val="center"/>
      </w:pPr>
      <w:r>
        <w:rPr>
          <w:rFonts w:ascii="Arial" w:cs="Arial" w:eastAsia="Arial" w:hAnsi="Arial"/>
          <w:color w:val="2E75B6"/>
          <w:sz w:val="26"/>
          <w:szCs w:val="26"/>
        </w:rPr>
        <w:t xml:space="preserve">Professional Services</w:t>
      </w:r>
    </w:p>
    <w:p>
      <w:pPr>
        <w:pBdr>
          <w:bottom w:val="single" w:color="2E75B6" w:sz="4" w:space="8"/>
        </w:pBdr>
        <w:spacing w:after="600"/>
        <w:jc w:val="center"/>
      </w:pPr>
    </w:p>
    <w:p>
      <w:pPr>
        <w:spacing w:after="80"/>
        <w:jc w:val="center"/>
      </w:pPr>
      <w:r>
        <w:rPr>
          <w:rFonts w:ascii="Arial" w:cs="Arial" w:eastAsia="Arial" w:hAnsi="Arial"/>
          <w:color w:val="666666"/>
          <w:sz w:val="22"/>
          <w:szCs w:val="22"/>
        </w:rPr>
        <w:t xml:space="preserve">Prepared for</w:t>
      </w:r>
    </w:p>
    <w:p>
      <w:pPr>
        <w:spacing w:after="400"/>
        <w:jc w:val="center"/>
      </w:pPr>
      <w:r>
        <w:rPr>
          <w:rFonts w:ascii="Arial" w:cs="Arial" w:eastAsia="Arial" w:hAnsi="Arial"/>
          <w:b/>
          <w:bCs/>
          <w:color w:val="1B3A5C"/>
          <w:sz w:val="36"/>
          <w:szCs w:val="36"/>
        </w:rPr>
        <w:t xml:space="preserve">Acme Corp</w:t>
      </w:r>
    </w:p>
    <w:p>
      <w:pPr>
        <w:spacing w:after="80"/>
        <w:jc w:val="center"/>
      </w:pPr>
      <w:r>
        <w:rPr>
          <w:rFonts w:ascii="Arial" w:cs="Arial" w:eastAsia="Arial" w:hAnsi="Arial"/>
          <w:color w:val="666666"/>
          <w:sz w:val="22"/>
          <w:szCs w:val="22"/>
        </w:rPr>
        <w:t xml:space="preserve">Prepared by: Eric Antongiorgi</w:t>
      </w:r>
    </w:p>
    <w:p>
      <w:pPr>
        <w:spacing w:after="80"/>
        <w:jc w:val="center"/>
      </w:pPr>
      <w:r>
        <w:rPr>
          <w:rFonts w:ascii="Arial" w:cs="Arial" w:eastAsia="Arial" w:hAnsi="Arial"/>
          <w:color w:val="666666"/>
          <w:sz w:val="22"/>
          <w:szCs w:val="22"/>
        </w:rPr>
        <w:t xml:space="preserve">Massive IT</w:t>
      </w:r>
    </w:p>
    <w:p>
      <w:pPr>
        <w:spacing w:after="80"/>
        <w:jc w:val="center"/>
      </w:pPr>
      <w:r>
        <w:rPr>
          <w:rFonts w:ascii="Arial" w:cs="Arial" w:eastAsia="Arial" w:hAnsi="Arial"/>
          <w:color w:val="666666"/>
          <w:sz w:val="22"/>
          <w:szCs w:val="22"/>
        </w:rPr>
        <w:t xml:space="preserve">May 12, 2026</w:t>
      </w:r>
    </w:p>
    <w:p>
      <w:r>
        <w:br w:type="page"/>
      </w:r>
    </w:p>
    <w:p>
      <w:pPr>
        <w:pStyle w:val="Heading1"/>
      </w:pPr>
      <w:r>
        <w:t xml:space="preserve">1. Executive Summary</w:t>
      </w:r>
    </w:p>
    <w:p>
      <w:pPr>
        <w:spacing w:after="200"/>
      </w:pPr>
      <w:r>
        <w:rPr>
          <w:rFonts w:ascii="Arial" w:cs="Arial" w:eastAsia="Arial" w:hAnsi="Arial"/>
          <w:b w:val="false"/>
          <w:bCs w:val="false"/>
          <w:sz w:val="22"/>
          <w:szCs w:val="22"/>
        </w:rPr>
        <w:t xml:space="preserve">Massive IT is pleased to present this Statement of Work for Acme Corp. This engagement delivers a comprehensive suite of IT services designed to strengthen endpoint security, establish SOC 2 compliance readiness, and provide flexible professional services resources to support ongoing technical and advisory needs.</w:t>
      </w:r>
    </w:p>
    <w:p>
      <w:pPr>
        <w:spacing w:after="200"/>
      </w:pPr>
      <w:r>
        <w:rPr>
          <w:rFonts w:ascii="Arial" w:cs="Arial" w:eastAsia="Arial" w:hAnsi="Arial"/>
          <w:b w:val="false"/>
          <w:bCs w:val="false"/>
          <w:sz w:val="22"/>
          <w:szCs w:val="22"/>
        </w:rPr>
        <w:t xml:space="preserve">The engagement is structured as a 12-month remote engagement supporting approximately 50 employees across three core service areas: Managed Endpoints, Compliance Services (SOC 2), and a Block of Professional Services Hours. Together, these services provide Acme Corp with proactive endpoint protection, continuous compliance monitoring, and on-demand access to advanced engineering and advisory expertise.</w:t>
      </w:r>
    </w:p>
    <w:p>
      <w:pPr>
        <w:spacing w:after="200"/>
      </w:pPr>
      <w:r>
        <w:rPr>
          <w:rFonts w:ascii="Arial" w:cs="Arial" w:eastAsia="Arial" w:hAnsi="Arial"/>
          <w:b w:val="false"/>
          <w:bCs w:val="false"/>
          <w:sz w:val="22"/>
          <w:szCs w:val="22"/>
        </w:rPr>
        <w:t xml:space="preserve">All services are delivered remotely by Massive IT personnel, with the goal of reducing organizational risk, accelerating audit readiness, and ensuring Acme Corp has the technical resources necessary to support its business objectives.</w:t>
      </w:r>
    </w:p>
    <w:p>
      <w:pPr>
        <w:pStyle w:val="Heading1"/>
      </w:pPr>
      <w:r>
        <w:t xml:space="preserve">2. Scope of Work</w:t>
      </w:r>
    </w:p>
    <w:p>
      <w:pPr>
        <w:pStyle w:val="Heading2"/>
      </w:pPr>
      <w:r>
        <w:t xml:space="preserve">2.1 Managed Endpoints</w:t>
      </w:r>
    </w:p>
    <w:p>
      <w:pPr>
        <w:spacing w:after="160"/>
      </w:pPr>
      <w:r>
        <w:rPr>
          <w:rFonts w:ascii="Arial" w:cs="Arial" w:eastAsia="Arial" w:hAnsi="Arial"/>
          <w:b w:val="false"/>
          <w:bCs w:val="false"/>
          <w:sz w:val="22"/>
          <w:szCs w:val="22"/>
        </w:rPr>
        <w:t xml:space="preserve">Massive IT will deploy and maintain endpoint monitoring and management across all 50 Acme Corp endpoints. This service provides continuous visibility into endpoint health, automated patch management, proactive alerting, and remote helpdesk support for end users.</w:t>
      </w:r>
    </w:p>
    <w:p>
      <w:pPr>
        <w:spacing w:after="80"/>
      </w:pPr>
      <w:r>
        <w:rPr>
          <w:rFonts w:ascii="Arial" w:cs="Arial" w:eastAsia="Arial" w:hAnsi="Arial"/>
          <w:b/>
          <w:bCs/>
          <w:sz w:val="22"/>
          <w:szCs w:val="22"/>
        </w:rPr>
        <w:t xml:space="preserve">Service includes:</w:t>
      </w:r>
    </w:p>
    <w:p>
      <w:pPr>
        <w:pStyle w:val="ListParagraph"/>
        <w:numPr>
          <w:ilvl w:val="0"/>
          <w:numId w:val="2"/>
        </w:numPr>
        <w:spacing w:after="60"/>
      </w:pPr>
      <w:r>
        <w:rPr>
          <w:rFonts w:ascii="Arial" w:cs="Arial" w:eastAsia="Arial" w:hAnsi="Arial"/>
          <w:sz w:val="22"/>
          <w:szCs w:val="22"/>
        </w:rPr>
        <w:t xml:space="preserve">Deployment and configuration of endpoint monitoring and management agents across all 50 endpoints</w:t>
      </w:r>
    </w:p>
    <w:p>
      <w:pPr>
        <w:pStyle w:val="ListParagraph"/>
        <w:numPr>
          <w:ilvl w:val="0"/>
          <w:numId w:val="2"/>
        </w:numPr>
        <w:spacing w:after="60"/>
      </w:pPr>
      <w:r>
        <w:rPr>
          <w:rFonts w:ascii="Arial" w:cs="Arial" w:eastAsia="Arial" w:hAnsi="Arial"/>
          <w:sz w:val="22"/>
          <w:szCs w:val="22"/>
        </w:rPr>
        <w:t xml:space="preserve">Automated patch management for operating systems and third-party applications</w:t>
      </w:r>
    </w:p>
    <w:p>
      <w:pPr>
        <w:pStyle w:val="ListParagraph"/>
        <w:numPr>
          <w:ilvl w:val="0"/>
          <w:numId w:val="2"/>
        </w:numPr>
        <w:spacing w:after="60"/>
      </w:pPr>
      <w:r>
        <w:rPr>
          <w:rFonts w:ascii="Arial" w:cs="Arial" w:eastAsia="Arial" w:hAnsi="Arial"/>
          <w:sz w:val="22"/>
          <w:szCs w:val="22"/>
        </w:rPr>
        <w:t xml:space="preserve">Continuous endpoint health monitoring with proactive alerting and remediation</w:t>
      </w:r>
    </w:p>
    <w:p>
      <w:pPr>
        <w:pStyle w:val="ListParagraph"/>
        <w:numPr>
          <w:ilvl w:val="0"/>
          <w:numId w:val="2"/>
        </w:numPr>
        <w:spacing w:after="60"/>
      </w:pPr>
      <w:r>
        <w:rPr>
          <w:rFonts w:ascii="Arial" w:cs="Arial" w:eastAsia="Arial" w:hAnsi="Arial"/>
          <w:sz w:val="22"/>
          <w:szCs w:val="22"/>
        </w:rPr>
        <w:t xml:space="preserve">Remote helpdesk support for end-user technical issues</w:t>
      </w:r>
    </w:p>
    <w:p>
      <w:pPr>
        <w:pStyle w:val="ListParagraph"/>
        <w:numPr>
          <w:ilvl w:val="0"/>
          <w:numId w:val="2"/>
        </w:numPr>
        <w:spacing w:after="60"/>
      </w:pPr>
      <w:r>
        <w:rPr>
          <w:rFonts w:ascii="Arial" w:cs="Arial" w:eastAsia="Arial" w:hAnsi="Arial"/>
          <w:sz w:val="22"/>
          <w:szCs w:val="22"/>
        </w:rPr>
        <w:t xml:space="preserve">Monthly endpoint health and status reporting</w:t>
      </w:r>
    </w:p>
    <w:p>
      <w:pPr>
        <w:pStyle w:val="ListParagraph"/>
        <w:numPr>
          <w:ilvl w:val="0"/>
          <w:numId w:val="2"/>
        </w:numPr>
        <w:spacing w:after="60"/>
      </w:pPr>
      <w:r>
        <w:rPr>
          <w:rFonts w:ascii="Arial" w:cs="Arial" w:eastAsia="Arial" w:hAnsi="Arial"/>
          <w:sz w:val="22"/>
          <w:szCs w:val="22"/>
        </w:rPr>
        <w:t xml:space="preserve">Endpoint security baseline configuration and hardening</w:t>
      </w:r>
    </w:p>
    <w:p>
      <w:pPr>
        <w:pStyle w:val="Heading2"/>
      </w:pPr>
      <w:r>
        <w:t xml:space="preserve">2.2 Compliance Services — SOC 2</w:t>
      </w:r>
    </w:p>
    <w:p>
      <w:pPr>
        <w:spacing w:after="160"/>
      </w:pPr>
      <w:r>
        <w:rPr>
          <w:rFonts w:ascii="Arial" w:cs="Arial" w:eastAsia="Arial" w:hAnsi="Arial"/>
          <w:b w:val="false"/>
          <w:bCs w:val="false"/>
          <w:sz w:val="22"/>
          <w:szCs w:val="22"/>
        </w:rPr>
        <w:t xml:space="preserve">Massive IT will deliver a full SOC 2 compliance program designed to establish, monitor, and maintain Acme Corp’s readiness for SOC 2 Type II certification. This service includes dedicated compliance resources, policy development, continuous monitoring, and audit preparation support.</w:t>
      </w:r>
    </w:p>
    <w:p>
      <w:pPr>
        <w:spacing w:after="80"/>
      </w:pPr>
      <w:r>
        <w:rPr>
          <w:rFonts w:ascii="Arial" w:cs="Arial" w:eastAsia="Arial" w:hAnsi="Arial"/>
          <w:b/>
          <w:bCs/>
          <w:sz w:val="22"/>
          <w:szCs w:val="22"/>
        </w:rPr>
        <w:t xml:space="preserve">Service includes:</w:t>
      </w:r>
    </w:p>
    <w:p>
      <w:pPr>
        <w:pStyle w:val="ListParagraph"/>
        <w:numPr>
          <w:ilvl w:val="0"/>
          <w:numId w:val="3"/>
        </w:numPr>
        <w:spacing w:after="60"/>
      </w:pPr>
      <w:r>
        <w:rPr>
          <w:rFonts w:ascii="Arial" w:cs="Arial" w:eastAsia="Arial" w:hAnsi="Arial"/>
          <w:sz w:val="22"/>
          <w:szCs w:val="22"/>
        </w:rPr>
        <w:t xml:space="preserve">SOC 2 readiness assessment and gap analysis across all applicable Trust Services Criteria</w:t>
      </w:r>
    </w:p>
    <w:p>
      <w:pPr>
        <w:pStyle w:val="ListParagraph"/>
        <w:numPr>
          <w:ilvl w:val="0"/>
          <w:numId w:val="3"/>
        </w:numPr>
        <w:spacing w:after="60"/>
      </w:pPr>
      <w:r>
        <w:rPr>
          <w:rFonts w:ascii="Arial" w:cs="Arial" w:eastAsia="Arial" w:hAnsi="Arial"/>
          <w:sz w:val="22"/>
          <w:szCs w:val="22"/>
        </w:rPr>
        <w:t xml:space="preserve">Development and documentation of security policies, procedures, and controls aligned to SOC 2 requirements</w:t>
      </w:r>
    </w:p>
    <w:p>
      <w:pPr>
        <w:pStyle w:val="ListParagraph"/>
        <w:numPr>
          <w:ilvl w:val="0"/>
          <w:numId w:val="3"/>
        </w:numPr>
        <w:spacing w:after="60"/>
      </w:pPr>
      <w:r>
        <w:rPr>
          <w:rFonts w:ascii="Arial" w:cs="Arial" w:eastAsia="Arial" w:hAnsi="Arial"/>
          <w:sz w:val="22"/>
          <w:szCs w:val="22"/>
        </w:rPr>
        <w:t xml:space="preserve">Continuous compliance monitoring and automated evidence collection</w:t>
      </w:r>
    </w:p>
    <w:p>
      <w:pPr>
        <w:pStyle w:val="ListParagraph"/>
        <w:numPr>
          <w:ilvl w:val="0"/>
          <w:numId w:val="3"/>
        </w:numPr>
        <w:spacing w:after="60"/>
      </w:pPr>
      <w:r>
        <w:rPr>
          <w:rFonts w:ascii="Arial" w:cs="Arial" w:eastAsia="Arial" w:hAnsi="Arial"/>
          <w:sz w:val="22"/>
          <w:szCs w:val="22"/>
        </w:rPr>
        <w:t xml:space="preserve">Dedicated compliance resources providing six hours per week of hands-on support</w:t>
      </w:r>
    </w:p>
    <w:p>
      <w:pPr>
        <w:pStyle w:val="ListParagraph"/>
        <w:numPr>
          <w:ilvl w:val="0"/>
          <w:numId w:val="3"/>
        </w:numPr>
        <w:spacing w:after="60"/>
      </w:pPr>
      <w:r>
        <w:rPr>
          <w:rFonts w:ascii="Arial" w:cs="Arial" w:eastAsia="Arial" w:hAnsi="Arial"/>
          <w:sz w:val="22"/>
          <w:szCs w:val="22"/>
        </w:rPr>
        <w:t xml:space="preserve">Virtual CISO advisory support for compliance strategy and audit preparation</w:t>
      </w:r>
    </w:p>
    <w:p>
      <w:pPr>
        <w:pStyle w:val="ListParagraph"/>
        <w:numPr>
          <w:ilvl w:val="0"/>
          <w:numId w:val="3"/>
        </w:numPr>
        <w:spacing w:after="60"/>
      </w:pPr>
      <w:r>
        <w:rPr>
          <w:rFonts w:ascii="Arial" w:cs="Arial" w:eastAsia="Arial" w:hAnsi="Arial"/>
          <w:sz w:val="22"/>
          <w:szCs w:val="22"/>
        </w:rPr>
        <w:t xml:space="preserve">Ongoing risk assessments, remediation tracking, and control validation</w:t>
      </w:r>
    </w:p>
    <w:p>
      <w:pPr>
        <w:pStyle w:val="ListParagraph"/>
        <w:numPr>
          <w:ilvl w:val="0"/>
          <w:numId w:val="3"/>
        </w:numPr>
        <w:spacing w:after="60"/>
      </w:pPr>
      <w:r>
        <w:rPr>
          <w:rFonts w:ascii="Arial" w:cs="Arial" w:eastAsia="Arial" w:hAnsi="Arial"/>
          <w:sz w:val="22"/>
          <w:szCs w:val="22"/>
        </w:rPr>
        <w:t xml:space="preserve">Audit preparation support and liaison coordination with third-party auditors</w:t>
      </w:r>
    </w:p>
    <w:p>
      <w:pPr>
        <w:pStyle w:val="Heading2"/>
      </w:pPr>
      <w:r>
        <w:t xml:space="preserve">2.3 Block of Professional Services Hours</w:t>
      </w:r>
    </w:p>
    <w:p>
      <w:pPr>
        <w:spacing w:after="160"/>
      </w:pPr>
      <w:r>
        <w:rPr>
          <w:rFonts w:ascii="Arial" w:cs="Arial" w:eastAsia="Arial" w:hAnsi="Arial"/>
          <w:b w:val="false"/>
          <w:bCs w:val="false"/>
          <w:sz w:val="22"/>
          <w:szCs w:val="22"/>
        </w:rPr>
        <w:t xml:space="preserve">Acme Corp will receive a pre-purchased block of 40 professional services hours to be used on a draw-down basis over the 12-month engagement term. These hours provide flexible access to Massive IT engineering, project, and advisory resources for a wide range of technical needs.</w:t>
      </w:r>
    </w:p>
    <w:p>
      <w:pPr>
        <w:spacing w:after="80"/>
      </w:pPr>
      <w:r>
        <w:rPr>
          <w:rFonts w:ascii="Arial" w:cs="Arial" w:eastAsia="Arial" w:hAnsi="Arial"/>
          <w:b/>
          <w:bCs/>
          <w:sz w:val="22"/>
          <w:szCs w:val="22"/>
        </w:rPr>
        <w:t xml:space="preserve">Covered services include:</w:t>
      </w:r>
    </w:p>
    <w:p>
      <w:pPr>
        <w:pStyle w:val="ListParagraph"/>
        <w:numPr>
          <w:ilvl w:val="0"/>
          <w:numId w:val="4"/>
        </w:numPr>
        <w:spacing w:after="60"/>
      </w:pPr>
      <w:r>
        <w:rPr>
          <w:rFonts w:ascii="Arial" w:cs="Arial" w:eastAsia="Arial" w:hAnsi="Arial"/>
          <w:sz w:val="22"/>
          <w:szCs w:val="22"/>
        </w:rPr>
        <w:t xml:space="preserve">Advanced engineering and infrastructure support</w:t>
      </w:r>
    </w:p>
    <w:p>
      <w:pPr>
        <w:pStyle w:val="ListParagraph"/>
        <w:numPr>
          <w:ilvl w:val="0"/>
          <w:numId w:val="4"/>
        </w:numPr>
        <w:spacing w:after="60"/>
      </w:pPr>
      <w:r>
        <w:rPr>
          <w:rFonts w:ascii="Arial" w:cs="Arial" w:eastAsia="Arial" w:hAnsi="Arial"/>
          <w:sz w:val="22"/>
          <w:szCs w:val="22"/>
        </w:rPr>
        <w:t xml:space="preserve">Project work and implementation services</w:t>
      </w:r>
    </w:p>
    <w:p>
      <w:pPr>
        <w:pStyle w:val="ListParagraph"/>
        <w:numPr>
          <w:ilvl w:val="0"/>
          <w:numId w:val="4"/>
        </w:numPr>
        <w:spacing w:after="60"/>
      </w:pPr>
      <w:r>
        <w:rPr>
          <w:rFonts w:ascii="Arial" w:cs="Arial" w:eastAsia="Arial" w:hAnsi="Arial"/>
          <w:sz w:val="22"/>
          <w:szCs w:val="22"/>
        </w:rPr>
        <w:t xml:space="preserve">Network optimization and troubleshooting</w:t>
      </w:r>
    </w:p>
    <w:p>
      <w:pPr>
        <w:pStyle w:val="ListParagraph"/>
        <w:numPr>
          <w:ilvl w:val="0"/>
          <w:numId w:val="4"/>
        </w:numPr>
        <w:spacing w:after="60"/>
      </w:pPr>
      <w:r>
        <w:rPr>
          <w:rFonts w:ascii="Arial" w:cs="Arial" w:eastAsia="Arial" w:hAnsi="Arial"/>
          <w:sz w:val="22"/>
          <w:szCs w:val="22"/>
        </w:rPr>
        <w:t xml:space="preserve">Security remediation and hardening</w:t>
      </w:r>
    </w:p>
    <w:p>
      <w:pPr>
        <w:pStyle w:val="ListParagraph"/>
        <w:numPr>
          <w:ilvl w:val="0"/>
          <w:numId w:val="4"/>
        </w:numPr>
        <w:spacing w:after="60"/>
      </w:pPr>
      <w:r>
        <w:rPr>
          <w:rFonts w:ascii="Arial" w:cs="Arial" w:eastAsia="Arial" w:hAnsi="Arial"/>
          <w:sz w:val="22"/>
          <w:szCs w:val="22"/>
        </w:rPr>
        <w:t xml:space="preserve">Backup and recovery configuration and testing</w:t>
      </w:r>
    </w:p>
    <w:p>
      <w:pPr>
        <w:pStyle w:val="ListParagraph"/>
        <w:numPr>
          <w:ilvl w:val="0"/>
          <w:numId w:val="4"/>
        </w:numPr>
        <w:spacing w:after="60"/>
      </w:pPr>
      <w:r>
        <w:rPr>
          <w:rFonts w:ascii="Arial" w:cs="Arial" w:eastAsia="Arial" w:hAnsi="Arial"/>
          <w:sz w:val="22"/>
          <w:szCs w:val="22"/>
        </w:rPr>
        <w:t xml:space="preserve">Consulting and advisory services</w:t>
      </w:r>
    </w:p>
    <w:p>
      <w:pPr>
        <w:spacing w:after="200"/>
      </w:pPr>
      <w:r>
        <w:rPr>
          <w:rFonts w:ascii="Arial" w:cs="Arial" w:eastAsia="Arial" w:hAnsi="Arial"/>
          <w:b w:val="false"/>
          <w:bCs w:val="false"/>
          <w:sz w:val="22"/>
          <w:szCs w:val="22"/>
        </w:rPr>
        <w:t xml:space="preserve">Hours are valid for 12 months from the date of purchase. Unused hours do not roll over into another term. Hours beyond the agreed block require a written change order prior to commencement.</w:t>
      </w:r>
    </w:p>
    <w:p>
      <w:pPr>
        <w:pStyle w:val="Heading1"/>
      </w:pPr>
      <w:r>
        <w:t xml:space="preserve">3. Deliverables</w:t>
      </w:r>
    </w:p>
    <w:p>
      <w:pPr>
        <w:pStyle w:val="ListParagraph"/>
        <w:numPr>
          <w:ilvl w:val="0"/>
          <w:numId w:val="5"/>
        </w:numPr>
        <w:spacing w:after="60"/>
      </w:pPr>
      <w:r>
        <w:rPr>
          <w:rFonts w:ascii="Arial" w:cs="Arial" w:eastAsia="Arial" w:hAnsi="Arial"/>
          <w:sz w:val="22"/>
          <w:szCs w:val="22"/>
        </w:rPr>
        <w:t xml:space="preserve">Fully deployed endpoint monitoring and management across all 50 Acme Corp endpoints</w:t>
      </w:r>
    </w:p>
    <w:p>
      <w:pPr>
        <w:pStyle w:val="ListParagraph"/>
        <w:numPr>
          <w:ilvl w:val="0"/>
          <w:numId w:val="5"/>
        </w:numPr>
        <w:spacing w:after="60"/>
      </w:pPr>
      <w:r>
        <w:rPr>
          <w:rFonts w:ascii="Arial" w:cs="Arial" w:eastAsia="Arial" w:hAnsi="Arial"/>
          <w:sz w:val="22"/>
          <w:szCs w:val="22"/>
        </w:rPr>
        <w:t xml:space="preserve">Automated patch management policy, schedule, and ongoing execution</w:t>
      </w:r>
    </w:p>
    <w:p>
      <w:pPr>
        <w:pStyle w:val="ListParagraph"/>
        <w:numPr>
          <w:ilvl w:val="0"/>
          <w:numId w:val="5"/>
        </w:numPr>
        <w:spacing w:after="60"/>
      </w:pPr>
      <w:r>
        <w:rPr>
          <w:rFonts w:ascii="Arial" w:cs="Arial" w:eastAsia="Arial" w:hAnsi="Arial"/>
          <w:sz w:val="22"/>
          <w:szCs w:val="22"/>
        </w:rPr>
        <w:t xml:space="preserve">Monthly endpoint health and compliance status reports</w:t>
      </w:r>
    </w:p>
    <w:p>
      <w:pPr>
        <w:pStyle w:val="ListParagraph"/>
        <w:numPr>
          <w:ilvl w:val="0"/>
          <w:numId w:val="5"/>
        </w:numPr>
        <w:spacing w:after="60"/>
      </w:pPr>
      <w:r>
        <w:rPr>
          <w:rFonts w:ascii="Arial" w:cs="Arial" w:eastAsia="Arial" w:hAnsi="Arial"/>
          <w:sz w:val="22"/>
          <w:szCs w:val="22"/>
        </w:rPr>
        <w:t xml:space="preserve">SOC 2 readiness assessment report with identified gaps and remediation roadmap</w:t>
      </w:r>
    </w:p>
    <w:p>
      <w:pPr>
        <w:pStyle w:val="ListParagraph"/>
        <w:numPr>
          <w:ilvl w:val="0"/>
          <w:numId w:val="5"/>
        </w:numPr>
        <w:spacing w:after="60"/>
      </w:pPr>
      <w:r>
        <w:rPr>
          <w:rFonts w:ascii="Arial" w:cs="Arial" w:eastAsia="Arial" w:hAnsi="Arial"/>
          <w:sz w:val="22"/>
          <w:szCs w:val="22"/>
        </w:rPr>
        <w:t xml:space="preserve">Complete compliance policy and procedure documentation package</w:t>
      </w:r>
    </w:p>
    <w:p>
      <w:pPr>
        <w:pStyle w:val="ListParagraph"/>
        <w:numPr>
          <w:ilvl w:val="0"/>
          <w:numId w:val="5"/>
        </w:numPr>
        <w:spacing w:after="60"/>
      </w:pPr>
      <w:r>
        <w:rPr>
          <w:rFonts w:ascii="Arial" w:cs="Arial" w:eastAsia="Arial" w:hAnsi="Arial"/>
          <w:sz w:val="22"/>
          <w:szCs w:val="22"/>
        </w:rPr>
        <w:t xml:space="preserve">Continuous compliance monitoring with dashboard access</w:t>
      </w:r>
    </w:p>
    <w:p>
      <w:pPr>
        <w:pStyle w:val="ListParagraph"/>
        <w:numPr>
          <w:ilvl w:val="0"/>
          <w:numId w:val="5"/>
        </w:numPr>
        <w:spacing w:after="60"/>
      </w:pPr>
      <w:r>
        <w:rPr>
          <w:rFonts w:ascii="Arial" w:cs="Arial" w:eastAsia="Arial" w:hAnsi="Arial"/>
          <w:sz w:val="22"/>
          <w:szCs w:val="22"/>
        </w:rPr>
        <w:t xml:space="preserve">Risk assessment and remediation tracking documentation</w:t>
      </w:r>
    </w:p>
    <w:p>
      <w:pPr>
        <w:pStyle w:val="ListParagraph"/>
        <w:numPr>
          <w:ilvl w:val="0"/>
          <w:numId w:val="5"/>
        </w:numPr>
        <w:spacing w:after="60"/>
      </w:pPr>
      <w:r>
        <w:rPr>
          <w:rFonts w:ascii="Arial" w:cs="Arial" w:eastAsia="Arial" w:hAnsi="Arial"/>
          <w:sz w:val="22"/>
          <w:szCs w:val="22"/>
        </w:rPr>
        <w:t xml:space="preserve">Audit preparation materials and third-party auditor coordination support</w:t>
      </w:r>
    </w:p>
    <w:p>
      <w:pPr>
        <w:pStyle w:val="ListParagraph"/>
        <w:numPr>
          <w:ilvl w:val="0"/>
          <w:numId w:val="5"/>
        </w:numPr>
        <w:spacing w:after="60"/>
      </w:pPr>
      <w:r>
        <w:rPr>
          <w:rFonts w:ascii="Arial" w:cs="Arial" w:eastAsia="Arial" w:hAnsi="Arial"/>
          <w:sz w:val="22"/>
          <w:szCs w:val="22"/>
        </w:rPr>
        <w:t xml:space="preserve">40 hours of professional services available on demand throughout the engagement term</w:t>
      </w:r>
    </w:p>
    <w:p>
      <w:pPr>
        <w:pStyle w:val="Heading1"/>
      </w:pPr>
      <w:r>
        <w:t xml:space="preserve">4. Service Summary</w:t>
      </w:r>
    </w:p>
    <w:p>
      <w:pPr>
        <w:spacing w:after="200"/>
      </w:pPr>
      <w:r>
        <w:rPr>
          <w:rFonts w:ascii="Arial" w:cs="Arial" w:eastAsia="Arial" w:hAnsi="Arial"/>
          <w:b w:val="false"/>
          <w:bCs w:val="false"/>
          <w:sz w:val="22"/>
          <w:szCs w:val="22"/>
        </w:rPr>
        <w:t xml:space="preserve">The following table summarizes the services, scope, and engagement terms included in this Statement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600"/>
        <w:gridCol w:w="1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Endpoints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RMM, patching, monitoring, helpdesk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50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 months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Compliance Services — SOC 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 2 readiness, policy development, continuous monitoring, vCISO advisory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 hrs/month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Services Hours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engineering, project work, consulting, advisory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 months</w:t>
            </w:r>
          </w:p>
        </w:tc>
      </w:tr>
    </w:tbl>
    <w:p>
      <w:pPr>
        <w:pStyle w:val="Heading1"/>
        <w:spacing w:before="400"/>
      </w:pPr>
      <w:r>
        <w:t xml:space="preserve">5. Timeline &amp; Milestones</w:t>
      </w:r>
    </w:p>
    <w:p>
      <w:pPr>
        <w:spacing w:after="200"/>
      </w:pPr>
      <w:r>
        <w:rPr>
          <w:rFonts w:ascii="Arial" w:cs="Arial" w:eastAsia="Arial" w:hAnsi="Arial"/>
          <w:b w:val="false"/>
          <w:bCs w:val="false"/>
          <w:sz w:val="22"/>
          <w:szCs w:val="22"/>
        </w:rPr>
        <w:t xml:space="preserve">The following milestones outline the anticipated progression of the engagement. All dates are approximate and subject to adjustment based on discovery findings and client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kickoff, discovery, and onboarding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Weeks 1–2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Endpoint agent deployment, configuration, and baseline hardening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Weeks 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readiness assessment, gap analysis, and remediation roadmap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Weeks 3–6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 development, compliance monitoring activation, and control implementation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Weeks 6–12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endpoint management, compliance monitoring, and professional services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Months 3–12</w:t>
            </w:r>
          </w:p>
        </w:tc>
      </w:tr>
    </w:tbl>
    <w:p>
      <w:pPr>
        <w:pStyle w:val="Heading1"/>
        <w:spacing w:before="400"/>
      </w:pPr>
      <w:r>
        <w:t xml:space="preserve">6. Standard Assumptions</w:t>
      </w:r>
    </w:p>
    <w:p>
      <w:pPr>
        <w:pStyle w:val="ListParagraph"/>
        <w:numPr>
          <w:ilvl w:val="0"/>
          <w:numId w:val="6"/>
        </w:numPr>
        <w:spacing w:after="60"/>
      </w:pPr>
      <w:r>
        <w:rPr>
          <w:rFonts w:ascii="Arial" w:cs="Arial" w:eastAsia="Arial" w:hAnsi="Arial"/>
          <w:sz w:val="22"/>
          <w:szCs w:val="22"/>
        </w:rPr>
        <w:t xml:space="preserve">Professional services are delivered remotely Monday–Friday, 8:00 AM–6:00 PM ET; onsite work is performed in the client’s local time zone.</w:t>
      </w:r>
    </w:p>
    <w:p>
      <w:pPr>
        <w:pStyle w:val="ListParagraph"/>
        <w:numPr>
          <w:ilvl w:val="0"/>
          <w:numId w:val="6"/>
        </w:numPr>
        <w:spacing w:after="60"/>
      </w:pPr>
      <w:r>
        <w:rPr>
          <w:rFonts w:ascii="Arial" w:cs="Arial" w:eastAsia="Arial" w:hAnsi="Arial"/>
          <w:sz w:val="22"/>
          <w:szCs w:val="22"/>
        </w:rPr>
        <w:t xml:space="preserve">Any work outside the defined scope requires a written change order prior to commencement.</w:t>
      </w:r>
    </w:p>
    <w:p>
      <w:pPr>
        <w:pStyle w:val="ListParagraph"/>
        <w:numPr>
          <w:ilvl w:val="0"/>
          <w:numId w:val="6"/>
        </w:numPr>
        <w:spacing w:after="60"/>
      </w:pPr>
      <w:r>
        <w:rPr>
          <w:rFonts w:ascii="Arial" w:cs="Arial" w:eastAsia="Arial" w:hAnsi="Arial"/>
          <w:sz w:val="22"/>
          <w:szCs w:val="22"/>
        </w:rPr>
        <w:t xml:space="preserve">Hours beyond the agreed block or project estimate require a change order.</w:t>
      </w:r>
    </w:p>
    <w:p>
      <w:pPr>
        <w:pStyle w:val="ListParagraph"/>
        <w:numPr>
          <w:ilvl w:val="0"/>
          <w:numId w:val="6"/>
        </w:numPr>
        <w:spacing w:after="60"/>
      </w:pPr>
      <w:r>
        <w:rPr>
          <w:rFonts w:ascii="Arial" w:cs="Arial" w:eastAsia="Arial" w:hAnsi="Arial"/>
          <w:sz w:val="22"/>
          <w:szCs w:val="22"/>
        </w:rPr>
        <w:t xml:space="preserve">Unforeseen challenges, unidentified infrastructure constraints, or third-party delays are not included in the estimate and will be addressed via change order.</w:t>
      </w:r>
    </w:p>
    <w:p>
      <w:pPr>
        <w:pStyle w:val="ListParagraph"/>
        <w:numPr>
          <w:ilvl w:val="0"/>
          <w:numId w:val="6"/>
        </w:numPr>
        <w:spacing w:after="60"/>
      </w:pPr>
      <w:r>
        <w:rPr>
          <w:rFonts w:ascii="Arial" w:cs="Arial" w:eastAsia="Arial" w:hAnsi="Arial"/>
          <w:sz w:val="22"/>
          <w:szCs w:val="22"/>
        </w:rPr>
        <w:t xml:space="preserve">Client is responsible for providing timely access to systems, credentials, and key stakeholders.</w:t>
      </w:r>
    </w:p>
    <w:p>
      <w:pPr>
        <w:pStyle w:val="ListParagraph"/>
        <w:numPr>
          <w:ilvl w:val="0"/>
          <w:numId w:val="6"/>
        </w:numPr>
        <w:spacing w:after="60"/>
      </w:pPr>
      <w:r>
        <w:rPr>
          <w:rFonts w:ascii="Arial" w:cs="Arial" w:eastAsia="Arial" w:hAnsi="Arial"/>
          <w:sz w:val="22"/>
          <w:szCs w:val="22"/>
        </w:rPr>
        <w:t xml:space="preserve">Massive IT is not responsible for pre-existing issues discovered during the engagement unless explicitly scoped.</w:t>
      </w:r>
    </w:p>
    <w:p>
      <w:pPr>
        <w:pStyle w:val="Heading1"/>
        <w:spacing w:before="400"/>
      </w:pPr>
      <w:r>
        <w:t xml:space="preserve">7. Responsibilities Matrix</w:t>
      </w:r>
    </w:p>
    <w:p>
      <w:pPr>
        <w:spacing w:after="200"/>
      </w:pPr>
      <w:r>
        <w:rPr>
          <w:rFonts w:ascii="Arial" w:cs="Arial" w:eastAsia="Arial" w:hAnsi="Arial"/>
          <w:b w:val="false"/>
          <w:bCs w:val="false"/>
          <w:sz w:val="22"/>
          <w:szCs w:val="22"/>
        </w:rPr>
        <w:t xml:space="preserve">The following matrix outlines primary ownership for key tasks and activities across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5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Massive IT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agent deployment &amp; configuration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IT deploys across all 50 endpoints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 management execution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maintenance windows agreed with client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monitoring &amp; alerting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monitoring with proactive alerts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Helpdesk support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Remote support for end-user issues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readiness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analysis and remediation roadmap</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 &amp; procedure development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Massive IT drafts; client reviews and approves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monitoring &amp; evidence 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monitoring and reporting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preparation &amp; auditor liaison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Joint coordination with third-party auditors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services scheduling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requests; Massive IT delivers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&amp; credential access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provides timely access as needed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availability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personnel available for scheduled sessions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order approval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for any out-of-scope work</w:t>
            </w:r>
          </w:p>
        </w:tc>
      </w:tr>
    </w:tbl>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714500" cy="381000"/>
          <wp:effectExtent t="0" r="0" b="0" l="0"/>
          <wp:docPr id="1" name="MassiveIT_Logo" descr="Massive IT Company Logo" title="Massive 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81000"/>
                  </a:xfrm>
                  <a:prstGeom prst="rect">
                    <a:avLst/>
                  </a:prstGeom>
                </pic:spPr>
              </pic:pic>
            </a:graphicData>
          </a:graphic>
        </wp:inline>
      </w:drawing>
    </w:r>
  </w:p>
  <w:p>
    <w:pPr>
      <w:pBdr>
        <w:bottom w:val="single" w:color="2E75B6" w:sz="6" w:space="1"/>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keepNext/>
      <w:keepLines/>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902d9159e7054f33744cdd07e98c24cb3caf2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2026-05-12T04:52:20.398Z</dcterms:created>
  <dcterms:modified xsi:type="dcterms:W3CDTF">2026-05-12T04:52:20.398Z</dcterms:modified>
</cp:coreProperties>
</file>

<file path=docProps/custom.xml><?xml version="1.0" encoding="utf-8"?>
<Properties xmlns="http://schemas.openxmlformats.org/officeDocument/2006/custom-properties" xmlns:vt="http://schemas.openxmlformats.org/officeDocument/2006/docPropsVTypes"/>
</file>