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51BD" w14:textId="30BFE70A" w:rsidR="009F29AC" w:rsidRDefault="00444931" w:rsidP="00C92B49">
      <w:pPr>
        <w:jc w:val="both"/>
        <w:rPr>
          <w:sz w:val="36"/>
          <w:szCs w:val="36"/>
        </w:rPr>
      </w:pPr>
      <w:r w:rsidRPr="00444931">
        <w:rPr>
          <w:sz w:val="36"/>
          <w:szCs w:val="36"/>
        </w:rPr>
        <w:t xml:space="preserve">6698 </w:t>
      </w:r>
      <w:proofErr w:type="spellStart"/>
      <w:r w:rsidRPr="00444931">
        <w:rPr>
          <w:sz w:val="36"/>
          <w:szCs w:val="36"/>
        </w:rPr>
        <w:t>nolu</w:t>
      </w:r>
      <w:proofErr w:type="spellEnd"/>
      <w:r w:rsidRPr="00444931">
        <w:rPr>
          <w:sz w:val="36"/>
          <w:szCs w:val="36"/>
        </w:rPr>
        <w:t xml:space="preserve"> </w:t>
      </w:r>
      <w:proofErr w:type="gramStart"/>
      <w:r w:rsidRPr="00444931">
        <w:rPr>
          <w:sz w:val="36"/>
          <w:szCs w:val="36"/>
        </w:rPr>
        <w:t>Kanun -</w:t>
      </w:r>
      <w:proofErr w:type="gramEnd"/>
      <w:r w:rsidRPr="00444931">
        <w:rPr>
          <w:sz w:val="36"/>
          <w:szCs w:val="36"/>
        </w:rPr>
        <w:t xml:space="preserve"> KİŞİSEL VERİLERİN KORUNMASI KANUNU – KVKK</w:t>
      </w:r>
    </w:p>
    <w:p w14:paraId="73C56DFD" w14:textId="77777777" w:rsidR="00B810FB" w:rsidRDefault="00B810FB" w:rsidP="00C92B49">
      <w:pPr>
        <w:jc w:val="both"/>
        <w:rPr>
          <w:sz w:val="36"/>
          <w:szCs w:val="36"/>
        </w:rPr>
      </w:pPr>
    </w:p>
    <w:p w14:paraId="054C26C6" w14:textId="20EDFE89" w:rsidR="00B810FB" w:rsidRDefault="00D7347C" w:rsidP="00D7347C">
      <w:pPr>
        <w:jc w:val="both"/>
        <w:rPr>
          <w:sz w:val="28"/>
          <w:szCs w:val="28"/>
        </w:rPr>
      </w:pPr>
      <w:r w:rsidRPr="00D7347C">
        <w:rPr>
          <w:sz w:val="28"/>
          <w:szCs w:val="28"/>
        </w:rPr>
        <w:t>6698 sayılı Kişisel Verilerin Korunması Kanunu (KVKK), Türkiye'de kişisel verilerin işlenmesi ve korunması konusunda düzenlemeler getiren bir kanundur. Kanun, kişisel verilerin hukuka uygun ve adil bir şekilde işlenmesini, işlenen verilerin güvenliğinin sağlanmasını ve veri sahiplerinin haklarını korur.</w:t>
      </w:r>
    </w:p>
    <w:p w14:paraId="4DD17253" w14:textId="77777777" w:rsidR="001C0449" w:rsidRDefault="001C0449" w:rsidP="00D7347C">
      <w:pPr>
        <w:jc w:val="both"/>
        <w:rPr>
          <w:sz w:val="28"/>
          <w:szCs w:val="28"/>
        </w:rPr>
      </w:pPr>
    </w:p>
    <w:p w14:paraId="00641FF4" w14:textId="616BD16E" w:rsidR="001C0449" w:rsidRDefault="001C0449" w:rsidP="001C0449">
      <w:pPr>
        <w:jc w:val="both"/>
        <w:rPr>
          <w:sz w:val="28"/>
          <w:szCs w:val="28"/>
        </w:rPr>
      </w:pPr>
      <w:r w:rsidRPr="00D54DAB">
        <w:rPr>
          <w:color w:val="2F5496" w:themeColor="accent1" w:themeShade="BF"/>
          <w:sz w:val="32"/>
          <w:szCs w:val="32"/>
        </w:rPr>
        <w:t>Kurumsal Firmalarda Faaliyetler ve Alınan Önlemler:</w:t>
      </w:r>
      <w:r w:rsidRPr="00D54DAB">
        <w:rPr>
          <w:color w:val="2F5496" w:themeColor="accent1" w:themeShade="BF"/>
          <w:sz w:val="28"/>
          <w:szCs w:val="28"/>
        </w:rPr>
        <w:t xml:space="preserve"> </w:t>
      </w:r>
      <w:r w:rsidRPr="001C0449">
        <w:rPr>
          <w:sz w:val="28"/>
          <w:szCs w:val="28"/>
        </w:rPr>
        <w:t>Kurumsal firmalar geniş bir yelpazede faaliyet gösterebilir. Bu faaliyetler, üretim, hizmet sağlama, ticaret, finans, sağlık gibi çeşitli sektörlerde olabilir. Firmalar, kişisel verileri işlerken veri güvenliği ve gizliliğini sağlamak için çeşitli önlemler alır. Bu önlemler arasında veri güvenliği politikaları oluşturmak, veri erişimini sınırlamak, veri güvenliği eğitimleri düzenlemek, güvenlik yazılımları kullanmak ve izinsiz erişime karşı önlemler almak gibi adımlar bulunabilir.</w:t>
      </w:r>
    </w:p>
    <w:p w14:paraId="7ABDDAC1" w14:textId="77777777" w:rsidR="00D54DAB" w:rsidRDefault="00D54DAB" w:rsidP="001C0449">
      <w:pPr>
        <w:jc w:val="both"/>
        <w:rPr>
          <w:sz w:val="28"/>
          <w:szCs w:val="28"/>
        </w:rPr>
      </w:pPr>
    </w:p>
    <w:p w14:paraId="6AEAF02A" w14:textId="77777777" w:rsidR="002304CB" w:rsidRDefault="002304CB" w:rsidP="002304CB">
      <w:pPr>
        <w:jc w:val="both"/>
        <w:rPr>
          <w:color w:val="2F5496" w:themeColor="accent1" w:themeShade="BF"/>
          <w:sz w:val="28"/>
          <w:szCs w:val="28"/>
        </w:rPr>
      </w:pPr>
      <w:r w:rsidRPr="002304CB">
        <w:rPr>
          <w:color w:val="2F5496" w:themeColor="accent1" w:themeShade="BF"/>
          <w:sz w:val="32"/>
          <w:szCs w:val="32"/>
        </w:rPr>
        <w:t>Çalışan İş Sözleşmelerine Eklenmesi Gereken Maddeler:</w:t>
      </w:r>
      <w:r w:rsidRPr="002304CB">
        <w:rPr>
          <w:color w:val="2F5496" w:themeColor="accent1" w:themeShade="BF"/>
          <w:sz w:val="28"/>
          <w:szCs w:val="28"/>
        </w:rPr>
        <w:t xml:space="preserve"> </w:t>
      </w:r>
    </w:p>
    <w:p w14:paraId="4BF55594" w14:textId="04348D21" w:rsidR="002304CB" w:rsidRPr="002304CB" w:rsidRDefault="002304CB" w:rsidP="002304CB">
      <w:pPr>
        <w:jc w:val="both"/>
        <w:rPr>
          <w:sz w:val="28"/>
          <w:szCs w:val="28"/>
        </w:rPr>
      </w:pPr>
      <w:r w:rsidRPr="002304CB">
        <w:rPr>
          <w:sz w:val="28"/>
          <w:szCs w:val="28"/>
        </w:rPr>
        <w:t xml:space="preserve">Çalışan iş sözleşmelerine </w:t>
      </w:r>
      <w:proofErr w:type="spellStart"/>
      <w:r w:rsidRPr="002304CB">
        <w:rPr>
          <w:sz w:val="28"/>
          <w:szCs w:val="28"/>
        </w:rPr>
        <w:t>KVKK'nın</w:t>
      </w:r>
      <w:proofErr w:type="spellEnd"/>
      <w:r w:rsidRPr="002304CB">
        <w:rPr>
          <w:sz w:val="28"/>
          <w:szCs w:val="28"/>
        </w:rPr>
        <w:t xml:space="preserve"> gerekliliklerini yansıtan maddeler eklemek önemlidir. Bu maddeler firmadan firmaya değişebilse de şu şekilde olabilir:</w:t>
      </w:r>
    </w:p>
    <w:p w14:paraId="3BFB314A" w14:textId="1BCD69DD" w:rsidR="002304CB" w:rsidRPr="002304CB" w:rsidRDefault="002304CB" w:rsidP="002304CB">
      <w:pPr>
        <w:pStyle w:val="ListeParagraf"/>
        <w:numPr>
          <w:ilvl w:val="0"/>
          <w:numId w:val="1"/>
        </w:numPr>
        <w:jc w:val="both"/>
        <w:rPr>
          <w:sz w:val="28"/>
          <w:szCs w:val="28"/>
        </w:rPr>
      </w:pPr>
      <w:r w:rsidRPr="002304CB">
        <w:rPr>
          <w:sz w:val="28"/>
          <w:szCs w:val="28"/>
        </w:rPr>
        <w:t>Çalışanın kişisel verilere erişimi sınırlanabilir ve bu erişimin yalnızca görev gereği olması durumunda gerçekleşmesi sağlanabilir.</w:t>
      </w:r>
    </w:p>
    <w:p w14:paraId="2E9EA6CC" w14:textId="55DD999C" w:rsidR="002304CB" w:rsidRPr="002304CB" w:rsidRDefault="002304CB" w:rsidP="002304CB">
      <w:pPr>
        <w:pStyle w:val="ListeParagraf"/>
        <w:numPr>
          <w:ilvl w:val="0"/>
          <w:numId w:val="1"/>
        </w:numPr>
        <w:jc w:val="both"/>
        <w:rPr>
          <w:sz w:val="28"/>
          <w:szCs w:val="28"/>
        </w:rPr>
      </w:pPr>
      <w:r w:rsidRPr="002304CB">
        <w:rPr>
          <w:sz w:val="28"/>
          <w:szCs w:val="28"/>
        </w:rPr>
        <w:t>Çalışanın kişisel verilere uygun şekilde erişmesi ve işlemesi için gerekli güvenlik önlemleri alınmalıdır.</w:t>
      </w:r>
    </w:p>
    <w:p w14:paraId="5E897BC3" w14:textId="52092256" w:rsidR="00D54DAB" w:rsidRDefault="002304CB" w:rsidP="002304CB">
      <w:pPr>
        <w:pStyle w:val="ListeParagraf"/>
        <w:numPr>
          <w:ilvl w:val="0"/>
          <w:numId w:val="1"/>
        </w:numPr>
        <w:jc w:val="both"/>
        <w:rPr>
          <w:sz w:val="28"/>
          <w:szCs w:val="28"/>
        </w:rPr>
      </w:pPr>
      <w:r w:rsidRPr="002304CB">
        <w:rPr>
          <w:sz w:val="28"/>
          <w:szCs w:val="28"/>
        </w:rPr>
        <w:t>Çalışanın işten ayrılması durumunda, işten ayrılma sürecinde kişisel verilerin nasıl işleneceği ve saklanacağına dair politikalar belirlenmelidir.</w:t>
      </w:r>
    </w:p>
    <w:p w14:paraId="1F273CA9" w14:textId="77777777" w:rsidR="0081655D" w:rsidRDefault="0081655D" w:rsidP="0081655D"/>
    <w:p w14:paraId="3D306164" w14:textId="77777777" w:rsidR="0081655D" w:rsidRDefault="0081655D" w:rsidP="0081655D">
      <w:pPr>
        <w:rPr>
          <w:color w:val="2F5496" w:themeColor="accent1" w:themeShade="BF"/>
        </w:rPr>
      </w:pPr>
      <w:r w:rsidRPr="0081655D">
        <w:rPr>
          <w:color w:val="2F5496" w:themeColor="accent1" w:themeShade="BF"/>
          <w:sz w:val="32"/>
          <w:szCs w:val="32"/>
        </w:rPr>
        <w:t>Tedarikçi Sözleşmelerine Eklenmesi Gereken Maddeler:</w:t>
      </w:r>
      <w:r w:rsidRPr="0081655D">
        <w:rPr>
          <w:color w:val="2F5496" w:themeColor="accent1" w:themeShade="BF"/>
        </w:rPr>
        <w:t xml:space="preserve"> </w:t>
      </w:r>
    </w:p>
    <w:p w14:paraId="225EE575" w14:textId="18040E24" w:rsidR="0081655D" w:rsidRPr="004A6236" w:rsidRDefault="0081655D" w:rsidP="0081655D">
      <w:pPr>
        <w:rPr>
          <w:sz w:val="28"/>
          <w:szCs w:val="28"/>
        </w:rPr>
      </w:pPr>
      <w:r w:rsidRPr="004A6236">
        <w:rPr>
          <w:sz w:val="28"/>
          <w:szCs w:val="28"/>
        </w:rPr>
        <w:t xml:space="preserve">Firma ile tedarikçi firmalar arasındaki sözleşmelere de </w:t>
      </w:r>
      <w:proofErr w:type="spellStart"/>
      <w:r w:rsidRPr="004A6236">
        <w:rPr>
          <w:sz w:val="28"/>
          <w:szCs w:val="28"/>
        </w:rPr>
        <w:t>KVKK'nın</w:t>
      </w:r>
      <w:proofErr w:type="spellEnd"/>
      <w:r w:rsidRPr="004A6236">
        <w:rPr>
          <w:sz w:val="28"/>
          <w:szCs w:val="28"/>
        </w:rPr>
        <w:t xml:space="preserve"> gerekliliklerini yansıtan maddeler eklenmelidir. Bu maddeler,</w:t>
      </w:r>
    </w:p>
    <w:p w14:paraId="2D956C88" w14:textId="77777777" w:rsidR="0081655D" w:rsidRPr="004A6236" w:rsidRDefault="0081655D" w:rsidP="0081655D">
      <w:pPr>
        <w:rPr>
          <w:sz w:val="28"/>
          <w:szCs w:val="28"/>
        </w:rPr>
      </w:pPr>
    </w:p>
    <w:p w14:paraId="123AF19B" w14:textId="7192B676" w:rsidR="0081655D" w:rsidRPr="004A6236" w:rsidRDefault="0081655D" w:rsidP="004A6236">
      <w:pPr>
        <w:pStyle w:val="ListeParagraf"/>
        <w:numPr>
          <w:ilvl w:val="0"/>
          <w:numId w:val="1"/>
        </w:numPr>
        <w:rPr>
          <w:sz w:val="28"/>
          <w:szCs w:val="28"/>
        </w:rPr>
      </w:pPr>
      <w:r w:rsidRPr="004A6236">
        <w:rPr>
          <w:sz w:val="28"/>
          <w:szCs w:val="28"/>
        </w:rPr>
        <w:lastRenderedPageBreak/>
        <w:t>Tedarikçinin, veri sorumlusu sıfatıyla verileri yalnızca sözleşme kapsamında işlemesi ve güvenliğini sağlaması gerektiğine dair hükümler yer almalıdır.</w:t>
      </w:r>
    </w:p>
    <w:p w14:paraId="7A539348" w14:textId="7DBAD5E4" w:rsidR="0081655D" w:rsidRPr="004A6236" w:rsidRDefault="0081655D" w:rsidP="004A6236">
      <w:pPr>
        <w:pStyle w:val="ListeParagraf"/>
        <w:numPr>
          <w:ilvl w:val="0"/>
          <w:numId w:val="1"/>
        </w:numPr>
        <w:rPr>
          <w:sz w:val="28"/>
          <w:szCs w:val="28"/>
        </w:rPr>
      </w:pPr>
      <w:r w:rsidRPr="004A6236">
        <w:rPr>
          <w:sz w:val="28"/>
          <w:szCs w:val="28"/>
        </w:rPr>
        <w:t>Tedarikçinin veri ihlali durumunda alınacak önlemler ve tarafların yükümlülükleri belirtilmelidir.</w:t>
      </w:r>
    </w:p>
    <w:p w14:paraId="73463866" w14:textId="73E598D4" w:rsidR="0081655D" w:rsidRPr="004A6236" w:rsidRDefault="0081655D" w:rsidP="004A6236">
      <w:pPr>
        <w:pStyle w:val="ListeParagraf"/>
        <w:numPr>
          <w:ilvl w:val="0"/>
          <w:numId w:val="1"/>
        </w:numPr>
        <w:rPr>
          <w:sz w:val="28"/>
          <w:szCs w:val="28"/>
        </w:rPr>
      </w:pPr>
      <w:r w:rsidRPr="004A6236">
        <w:rPr>
          <w:sz w:val="28"/>
          <w:szCs w:val="28"/>
        </w:rPr>
        <w:t xml:space="preserve">Tedarikçinin </w:t>
      </w:r>
      <w:proofErr w:type="spellStart"/>
      <w:r w:rsidRPr="004A6236">
        <w:rPr>
          <w:sz w:val="28"/>
          <w:szCs w:val="28"/>
        </w:rPr>
        <w:t>KVKK'ya</w:t>
      </w:r>
      <w:proofErr w:type="spellEnd"/>
      <w:r w:rsidRPr="004A6236">
        <w:rPr>
          <w:sz w:val="28"/>
          <w:szCs w:val="28"/>
        </w:rPr>
        <w:t xml:space="preserve"> uygunluğunu sağlamak için periyodik olarak denetlenmesine dair düzenlemeler yapılabilir.</w:t>
      </w:r>
    </w:p>
    <w:p w14:paraId="1F37C291" w14:textId="67EE9C03" w:rsidR="0081655D" w:rsidRPr="004A6236" w:rsidRDefault="0081655D" w:rsidP="0081655D">
      <w:pPr>
        <w:rPr>
          <w:sz w:val="28"/>
          <w:szCs w:val="28"/>
        </w:rPr>
      </w:pPr>
      <w:proofErr w:type="gramStart"/>
      <w:r w:rsidRPr="004A6236">
        <w:rPr>
          <w:sz w:val="28"/>
          <w:szCs w:val="28"/>
        </w:rPr>
        <w:t>şeklinde</w:t>
      </w:r>
      <w:proofErr w:type="gramEnd"/>
      <w:r w:rsidRPr="004A6236">
        <w:rPr>
          <w:sz w:val="28"/>
          <w:szCs w:val="28"/>
        </w:rPr>
        <w:t xml:space="preserve"> olabilir.</w:t>
      </w:r>
    </w:p>
    <w:sectPr w:rsidR="0081655D" w:rsidRPr="004A6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1B84"/>
    <w:multiLevelType w:val="hybridMultilevel"/>
    <w:tmpl w:val="BD9A3F64"/>
    <w:lvl w:ilvl="0" w:tplc="B9CECA06">
      <w:start w:val="669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619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D"/>
    <w:rsid w:val="001C0449"/>
    <w:rsid w:val="002304CB"/>
    <w:rsid w:val="00444931"/>
    <w:rsid w:val="004A6236"/>
    <w:rsid w:val="007B15DD"/>
    <w:rsid w:val="0081655D"/>
    <w:rsid w:val="009F29AC"/>
    <w:rsid w:val="00B810FB"/>
    <w:rsid w:val="00C92B49"/>
    <w:rsid w:val="00D54DAB"/>
    <w:rsid w:val="00D73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4595"/>
  <w15:chartTrackingRefBased/>
  <w15:docId w15:val="{DC74EEA4-58B6-4527-8F9C-D129F6BD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30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11</cp:revision>
  <dcterms:created xsi:type="dcterms:W3CDTF">2023-09-12T10:54:00Z</dcterms:created>
  <dcterms:modified xsi:type="dcterms:W3CDTF">2023-09-12T11:53:00Z</dcterms:modified>
</cp:coreProperties>
</file>