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İSTANBUL 4. İCRA HUKUK MAHKEMESİ</w:t>
      </w:r>
    </w:p>
    <w:p>
      <w:pPr>
        <w:spacing w:after="80"/>
      </w:pPr>
      <w:r>
        <w:rPr>
          <w:b/>
          <w:bCs/>
        </w:rPr>
        <w:t xml:space="preserve">Esas No: </w:t>
      </w:r>
      <w:r>
        <w:t xml:space="preserve">2026/145 Esas (İtiraz)</w:t>
      </w:r>
    </w:p>
    <w:p>
      <w:pPr>
        <w:spacing w:after="80"/>
      </w:pPr>
      <w:r>
        <w:rPr>
          <w:b/>
          <w:bCs/>
        </w:rPr>
        <w:t xml:space="preserve">Dayanak İcra Dosyası: </w:t>
      </w:r>
      <w:r>
        <w:t xml:space="preserve">İstanbul 12. İcra Dairesi, 2026/3312 E.</w:t>
      </w:r>
    </w:p>
    <w:p>
      <w:pPr>
        <w:spacing w:after="80"/>
      </w:pPr>
      <w:r>
        <w:rPr>
          <w:b/>
          <w:bCs/>
        </w:rPr>
        <w:t xml:space="preserve">Alacaklı: </w:t>
      </w:r>
      <w:r>
        <w:t xml:space="preserve">Akyıldız Tekstil Sanayi ve Ticaret A.Ş. (Vekili: Av. Elif Sarıkaya)</w:t>
      </w:r>
    </w:p>
    <w:p>
      <w:pPr>
        <w:spacing w:after="80"/>
      </w:pPr>
      <w:r>
        <w:rPr>
          <w:b/>
          <w:bCs/>
        </w:rPr>
        <w:t xml:space="preserve">Borçlu: </w:t>
      </w:r>
      <w:r>
        <w:t xml:space="preserve">Demirci İnşaat Malzemeleri Ltd. Şti. (Vekili: Av. Kerem Baştürk)</w:t>
      </w:r>
    </w:p>
    <w:p>
      <w:pPr>
        <w:spacing w:after="80"/>
      </w:pPr>
      <w:r>
        <w:rPr>
          <w:b/>
          <w:bCs/>
        </w:rPr>
        <w:t xml:space="preserve">Konu: </w:t>
      </w:r>
      <w:r>
        <w:t xml:space="preserve">İlamsız icra takibine itirazın kaldırılması / itirazın iptali talebi</w:t>
      </w:r>
    </w:p>
    <w:p>
      <w:pPr>
        <w:pBdr>
          <w:bottom w:val="single" w:color="999999" w:sz="6" w:space="1"/>
        </w:pBdr>
        <w:spacing w:after="200" w:before="100"/>
      </w:pPr>
    </w:p>
    <w:p>
      <w:pPr>
        <w:pStyle w:val="Heading2"/>
      </w:pPr>
      <w:r>
        <w:t xml:space="preserve">I. TAKİP KONUSU ALACAK</w:t>
      </w:r>
    </w:p>
    <w:p>
      <w:pPr>
        <w:spacing w:after="160" w:line="300"/>
      </w:pPr>
      <w:r>
        <w:t xml:space="preserve">Alacaklı Akyıldız Tekstil San. ve Tic. A.Ş., borçlu Demirci İnşaat Malzemeleri Ltd. Şti.'ye 15.01.2025 - 30.06.2025 tarihleri arasında düzenlenen 14 adet fatura karşılığında toplam 185.000,00 TL tutarında tekstil hammaddesi (astar kumaş, dokuma bandı) teslim etmiş; bedelin ödenmemesi üzerine İstanbul 12. İcra Dairesi'nin 2026/3312 E. sayılı dosyası ile 185.000,00 TL asıl alacak, işlemiş faiz ve icra masrafları için ilamsız icra takibi başlatmıştır.</w:t>
      </w:r>
    </w:p>
    <w:p>
      <w:pPr>
        <w:pStyle w:val="Heading2"/>
      </w:pPr>
      <w:r>
        <w:t xml:space="preserve">II. BORÇLUNUN İTİRAZ NEDENLERİ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Borçlu, 22.03.2025 tarihli ve 40.000,00 TL tutarındaki kısmi ödemenin (banka dekontu ekli) takip talebine yansıtılmadığını, bakiye borcun 145.000,00 TL olması gerektiğini ileri sürmüştür.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Borçlu, faturaların bir kısmının (F-2025-0112 ve F-2025-0134 nolu, toplam 28.000,00 TL) sipariş formunda belirtilen miktardan fazla mal içerdiğini, fazlaya ilişkin kısmın kabul edilmediğini iddia etmiştir.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Borçlu, cari hesap mutabakatı yapılmadan takip başlatıldığını, taraflar arasında 10.11.2025 tarihli bir cari hesap mutabakat görüşmesi yapıldığını ancak mutabakata varılamadığını belirtmiştir.</w:t>
      </w:r>
    </w:p>
    <w:p>
      <w:pPr>
        <w:pStyle w:val="Heading2"/>
      </w:pPr>
      <w:r>
        <w:t xml:space="preserve">III. ALACAKLI TARAFIN CEVABI</w:t>
      </w:r>
    </w:p>
    <w:p>
      <w:pPr>
        <w:spacing w:after="160" w:line="300"/>
      </w:pPr>
      <w:r>
        <w:t xml:space="preserve">Alacaklı vekili, kısmi ödemenin dosyaya yansıtıldığını, takip talebindeki tutarın zaten bakiye 145.000,00 TL olarak düzenlendiğini, borçlunun bu hususta yanılgıya düştüğünü; fazla teslimat iddiasının ise borçlu tarafından imzalı irsaliyelerle çeliştiğini belirtmiştir.</w:t>
      </w:r>
    </w:p>
    <w:p>
      <w:pPr>
        <w:pStyle w:val="Heading2"/>
      </w:pPr>
      <w:r>
        <w:t xml:space="preserve">IV. DELİLLER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F-2025-0098 ilâ F-2025-0211 seri numaralı 14 adet fatura ve karşılık irsaliyeler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22.03.2025 tarihli 40.000,00 TL banka havale dekontu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Taraflar arasındaki 10.11.2025 tarihli cari hesap mutabakat tutanağı (imzasız taslak)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Borçlu yetkilisi imzalı irsaliyeler (F-2025-0112, F-2025-0134)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İcra dosyası (İstanbul 12. İcra Dairesi 2026/3312 E.) takip talebi ve ödeme emri sureti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Taraflar arası e-posta yazışmaları (Ekim-Kasım 2025)</w:t>
      </w:r>
    </w:p>
    <w:p>
      <w:pPr>
        <w:pStyle w:val="Heading2"/>
      </w:pPr>
      <w:r>
        <w:t xml:space="preserve">V. HUKUKİ DAYANAK</w:t>
      </w:r>
    </w:p>
    <w:p>
      <w:pPr>
        <w:spacing w:after="160" w:line="300"/>
      </w:pPr>
      <w:r>
        <w:t xml:space="preserve">İİK m. 62, 63, 67, 68; TBK m. 83 (kısmi ifa), TTK m. 21-23 (ticari defter ve cari hesap hükümleri) hükümleri değerlendirmeye esas alınmalıdır.</w:t>
      </w:r>
    </w:p>
    <w:p>
      <w:pPr>
        <w:pStyle w:val="Heading2"/>
      </w:pPr>
      <w:r>
        <w:t xml:space="preserve">VI. NETİCE-İ TALEP</w:t>
      </w:r>
    </w:p>
    <w:p>
      <w:pPr>
        <w:spacing w:after="160" w:line="300"/>
      </w:pPr>
      <w:r>
        <w:t xml:space="preserve">Yukarıda açıklanan nedenlerle; borçlunun itirazının kısmen kabulü ile bakiye alacak miktarının tespiti, kısmi ödemenin mahsubu ve takibin bu tutar üzerinden devamına karar verilmesi saygıyla arz ve talep olunur.</w:t>
      </w:r>
    </w:p>
    <w:p>
      <w:pPr>
        <w:spacing w:after="0" w:before="300"/>
      </w:pPr>
      <w:r>
        <w:rPr>
          <w:i/>
          <w:iCs/>
          <w:color w:val="888888"/>
          <w:sz w:val="18"/>
          <w:szCs w:val="18"/>
        </w:rPr>
        <w:t xml:space="preserve">NOT: Bu belge, Hukuk Emsal platformunun UYAP dosya asistanı özelliğini test etmek amacıyla üretilmiş TAMAMEN KURGUSAL bir örnek dosyadır. İçindeki kişi, şirket, mahkeme, esas numarası ve olaylar gerçek değildir; gerçek kişi/kurumlarla benzerlik tesadüfidir.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2026-07-04T08:31:18.675Z</dcterms:created>
  <dcterms:modified xsi:type="dcterms:W3CDTF">2026-07-04T08:31:18.676Z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