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e9xn88aaznu" w:id="0"/>
      <w:bookmarkEnd w:id="0"/>
      <w:r w:rsidDel="00000000" w:rsidR="00000000" w:rsidRPr="00000000">
        <w:rPr>
          <w:rtl w:val="0"/>
        </w:rPr>
        <w:t xml:space="preserve">External list description.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Number of Instances:  1063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Number of Attributes: 6 (6 numerical)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trcwp69lgpz" w:id="1"/>
      <w:bookmarkEnd w:id="1"/>
      <w:r w:rsidDel="00000000" w:rsidR="00000000" w:rsidRPr="00000000">
        <w:rPr>
          <w:rtl w:val="0"/>
        </w:rPr>
        <w:t xml:space="preserve">Attribute description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Attribute 1: (numerical)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LegalCase : The applicant has been involved in a legal case involving unpaid credits.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Attribute 2: (numerical)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FraudSuspicion : The applicant has been registered in any external data source as fraudulent when paying subscription services like Telecomunications, mobiles, etc.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Attribute 3: (numerical)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PoliceReport : The applicant is registered in at least one Police Report related to fraud.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Attribute 4: (numerical)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ContactAudit : The applicant may be in a source of fraud audit data.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Attribute 5: (numerical)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UkvCheck : The applicant has not paid the income tax.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Attribute 6: (numerical)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AddressFraudCheck : The applicant has used false addresses fraudulently.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