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1”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ow4x0s724zl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2”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_ow4x0s724zlg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zer127gbm0z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3”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_zer127gbm0zw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u1cclnolsc4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4”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_u1cclnolsc4o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ulxat8psfja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5”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_ulxat8psfjap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5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 Solo 2 de los 5 casos prácticos 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Adjunta una captura donde se muestre que “</w:t>
      </w:r>
      <w:r w:rsidDel="00000000" w:rsidR="00000000" w:rsidRPr="00000000">
        <w:rPr>
          <w:b w:val="1"/>
          <w:i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” está conectado a un contenedor.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Adjunta una captura que se vea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1cclnolsc4o" w:id="5"/>
      <w:bookmarkEnd w:id="5"/>
      <w:r w:rsidDel="00000000" w:rsidR="00000000" w:rsidRPr="00000000">
        <w:rPr>
          <w:rtl w:val="0"/>
        </w:rPr>
        <w:t xml:space="preserve">Entrega “Caso práctico 4”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Glandes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lxat8psfjap" w:id="6"/>
      <w:bookmarkEnd w:id="6"/>
      <w:r w:rsidDel="00000000" w:rsidR="00000000" w:rsidRPr="00000000">
        <w:rPr>
          <w:rtl w:val="0"/>
        </w:rPr>
        <w:t xml:space="preserve">Entrega “Caso práctico 5”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