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pPr>
              <w:pStyle w:val="Title"/>
              <w:spacing w:after="200" w:line="240" w:lineRule="auto"/>
              <w:jc w:val="center"/>
              <w:rPr>
                <w:rFonts w:ascii="Old Standard TT" w:cs="Old Standard TT" w:eastAsia="Old Standard TT" w:hAnsi="Old Standard TT"/>
                <w:b w:val="1"/>
                <w:bCs w:val="1"/>
                <w:color w:val="000000"/>
                <w:sz w:val="40"/>
                <w:szCs w:val="40"/>
              </w:rPr>
            </w:pPr>
            <w:r>
              <w:rPr>
                <w:rFonts w:ascii="Old Standard TT" w:hAnsi="Old Standard TT" w:cs="Old Standard TT"/>
                <w:b w:val="1"/>
                <w:sz w:val="40"/>
                <w:szCs w:val="40"/>
                <w:color w:val="000000"/>
              </w:rPr>
              <w:t xml:space="preserve">HARMFUL AGENT HANDOFFS AND SAFE COORDINATION</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p>
          <w:p w:rsidR="00000000" w:rsidDel="00000000" w:rsidP="00000000" w:rsidRDefault="00000000" w:rsidRPr="00000000">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718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85"/>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W w:w="7185" w:type="dxa"/>
                      </w:tcPr>
                      <w:p w:rsidR="00000000" w:rsidDel="00000000" w:rsidP="00000000" w:rsidRDefault="00000000" w:rsidRPr="00000000">
                        <w:pPr>
                          <w:spacing w:after="200" w:line="240" w:lineRule="auto"/>
                          <w:jc w:val="center"/>
                          <w:rPr>
                            <w:rFonts w:ascii="Old Standard TT" w:cs="Old Standard TT" w:eastAsia="Old Standard TT" w:hAnsi="Old Standard TT"/>
                          </w:rPr>
                        </w:pPr>
                        <w:r>
                          <w:rPr>
                            <w:rFonts w:ascii="Old Standard TT" w:hAnsi="Old Standard TT" w:cs="Old Standard TT"/>
                            <w:color w:val="000000"/>
                          </w:rPr>
                          <w:t xml:space="preserve">Frank Peterlein</w:t>
                          <w:br/>
                          <w:t xml:space="preserve">Independent researcher</w:t>
                        </w:r>
                      </w:p>
                      <w:p w:rsidR="00000000" w:rsidDel="00000000" w:rsidP="00000000" w:rsidRDefault="00000000" w:rsidRPr="00000000">
                        <w:pPr>
                          <w:spacing w:after="200" w:line="240" w:lineRule="auto"/>
                          <w:jc w:val="center"/>
                          <w:rPr>
                            <w:rFonts w:ascii="Old Standard TT" w:cs="Old Standard TT" w:eastAsia="Old Standard TT" w:hAnsi="Old Standard TT"/>
                          </w:rPr>
                        </w:pPr>
                        <w:r>
                          <w:rPr>
                            <w:rFonts w:ascii="Old Standard TT" w:hAnsi="Old Standard TT" w:cs="Old Standard TT"/>
                            <w:sz w:val="22"/>
                            <w:szCs w:val="22"/>
                            <w:color w:val="000000"/>
                          </w:rPr>
                          <w:t xml:space="preserve">A Controlled Study of Transfer and Verification</w:t>
                        </w:r>
                      </w:p>
                    </w:tc>
                  </w:tr>
                </w:tbl>
                <w:p w:rsidR="00000000" w:rsidDel="00000000" w:rsidP="00000000" w:rsidRDefault="00000000" w:rsidRPr="00000000">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pPr>
                    <w:spacing w:after="200" w:line="240" w:lineRule="auto"/>
                    <w:ind w:left="540" w:right="45" w:firstLine="0"/>
                    <w:jc w:val="both"/>
                    <w:rPr>
                      <w:rFonts w:ascii="Old Standard TT" w:cs="Old Standard TT" w:eastAsia="Old Standard TT" w:hAnsi="Old Standard TT"/>
                    </w:rPr>
                  </w:pPr>
                  <w:r>
                    <w:rPr>
                      <w:rFonts w:ascii="Old Standard TT" w:hAnsi="Old Standard TT" w:cs="Old Standard TT"/>
                      <w:color w:val="000000"/>
                    </w:rPr>
                    <w:t xml:space="preserve">Can harmful plans survive replacement through handoff notes, and can successors reject them while coordinating? We study a transparent four-agent allocation task. Originals are instructed to favor their coalition at outsiders’ expense; neutral successors receive controlled note combinations. In a format-expanded analysis, a prespecified paired-note contrast increases joint harm by 0.50 for Qwen and 0.43 for GPT-OSS relative to facts alone, across five and seven complete cases. Verification reduces joint harm but increases duplicate claims relative to coordinated harmful notes. A post-hoc comparison finds the same duplicate frequency under verification and facts alone. Structural and fixed-note controls improve safe coordination through task changes or shared decision rules. A final fresh factorial control crosses harmful-note and reminder presence while holding the rule fixed. Among 79 valid episodes, three partial outsider harms occur only with harmful notes and no reminder; all other valid episodes are safe-optimal. The primary safe-optimal interaction is +0.125 across four complete Qwen cases and +0.200 across five GPT-OSS cases. These selected cohorts support inherited instructed-plan transfer and conditional benefits from verification plus a shared safe convention, without establishing spontaneous collusion or a general defense.</w:t>
                  </w:r>
                </w:p>
              </w:tc>
            </w:tr>
          </w:tbl>
          <w:p w:rsidR="00000000" w:rsidDel="00000000" w:rsidP="00000000" w:rsidRDefault="00000000" w:rsidRPr="00000000">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1. Introduction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Agent replacement does not remove the information left by the outgoing agents. Handoff notes can preserve useful conventions, but they can also carry recommendations that benefit a coalition at other participants’ expense. The Inherited Collusion project asks whether such instructed harmful plans affect neutral successors, and whether verification can prevent harm without disrupting task coordination.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distinction matters because rejecting a harmful recommendation does not itself select a common safe alternative. We first vary which original notes reach two independent successors. Three follow-up controls then investigate task structure, shared safe rules and the separate effects of notes and verification. The contribution is a bounded empirical audit of this handoff channel: enacted harm, task completion and coordination quality are measured separately.</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2. Related Work</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Colosseum distinguishes expressed collusive plans from enacted coalition-favoring behavior [1,4]. Self-Propagating Misalignment studies harmful goals passed to neutral successors and discusses utility costs of memory defenses [2]. Salami Attack studies jointly effective memory fragments [3]. Building on this work, we control delivery of role-specific notes written after enacted harmful or legitimate allocations, then measure coalition benefit, outsider harm and task coordination separately.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Shared conventions and symmetry breaking are established coordination approaches. Theory of Scene addresses collisions among homogeneous concurrent agents using public roles and shared task context [5]. Tacit Coordination of Large Language Models studies focal points and coordination without communication [6]. Our focused question is how these ideas behave in the presence of harmful inherited notes. The three follow-up controls distinguish task structure, an explicit public safe decision policy and the note-by-reminder interaction under that policy; earlier legitimate-source comparisons assess useful cooperation.</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3. Methods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Two model agents, A and B, independently choose one of four tasks without seeing each other’s choice. Scripted outsiders C and D then minimize their combined cost on two distinct unclaimed tasks. Every agent earns 100 minus its task cost; an extra duplicate claim incurs a 200-point penalty shared by claimants. Neutral successors are instructed to maximize distinct task completion and then minimize total cost across all four agents. They receive the full public cost matrix and all 16 possible A/B outcomes, including the scripted continuation.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Here operational collusion means an enacted joint allocation that benefits A/B while reducing C/D reward relative to the cooperative reference. A joint-harm event requires both outsider specialties to be taken with positive coalition gain and outsider loss. Original agents are explicitly instructed to execute harmful or legitimate joint plans before writing role-specific notes to their replacements. This induces the original coalition; it does not establish spontaneous collusion. Successors receive neutral instructions and unchanged public facts. We also score continuous outsider loss, team reward, duplicate claims and safe-optimal completion. A safe optimum completes four distinct tasks at globally minimum total cost; zero joint harm alone can conceal partial outsider harm.</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handoff audit plans eight cost cases per model and two successor draws per route. Routes deliver facts alone, one note, both notes from the same original branch, crossed branches, or both notes plus a reminder to check them against public rules and total cost. Two role-swapped original-plan orientations (p0 and p1) and legitimate-source controls test convention transfer. Each model supplies its own originals and successors, so differences between models combine sender and recipient behavior. All main studies use Qwen3.6-35B-A3B and GPT-OSS-120B at temperature 0.6, top-p 0.95 and an 8,192-token output limit; exact identifiers and provenance limits are in Appendix B.</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original strict audit retains 360/512 planned episodes. A disclosed post-start format amendment accepts one complete outer JSON fence and recovers 439/512 episodes by reusing exact old responses and calling only previously undispatched slots. Four unresolved requests remain missing. We report both populations separately; the amended analysis is not an independent replication. Later controls were locally frozen before their own responses, after the earlier findings were known. Internal version names, dates, eligibility rules and all missingness are mapped in Appendices B and H.</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structural control plans six new cases per model, two draws per condition, both original objectives and three routes: facts alone, both original notes and verified notes. Adding one unit to two nonpreferred safe A/B cost cells creates a unique safe optimum while preserving optimal total cost and assigned original-plan outcomes. Public outcome tables are recomputed and originals write fresh notes for each structure. Four Qwen cases and all six GPT-OSS cases complete this control; one technically valid but semantically incorrect Qwen diagnostic remains included. The intervention therefore changes both cost geometry and the notes produced.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fixed-note control instead holds the symmetric matrices and exact notes from those ten available donor cases fixed. Fresh successors receive verification alone or verification plus a shared rule: choose the lexicographically first or last A/B task pair among public outcomes with maximum distinct completion and minimum total cost. Both original objectives and two draws per arm are retained. Its primary harmful-mode contrast averages the two directions equally, subtracts fresh verification alone and weights complete cases equally within each model. The directions are fixed subconditions, not independent replications. Logical completion ranges cover missing outcomes in the available cohort; they are not confidence intervals or corrections for donor selection.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final factorial control reuses the same ten symmetric donor cases with entirely fresh successors. Harmful notes are either supplied or omitted, crossed with the unchanged verification reminder being present or absent. Every arm contains the shared safe rule, tested once in each fixed direction. The primary safe-optimal contrast is the reminder effect with notes minus its effect without notes, averaging directions within each case and weighting the same complete cases equally within each model. There are no new originals, diagnostic probes or legitimate-note arms.</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4. Results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Inherited harmful-plan transfer. In the format-expanded audit, both same-source notes from orientation p0 increase joint-harm probability relative to facts alone by 0.50 for Qwen across five complete cases and 0.43 for GPT-OSS across seven. The strict counterparts are 0.50 over only one case and 0.43 over seven. These are within-case delivery contrasts, not population estimates. One-note and crossed-source arms have no observed joint-harm events, although continuous outsider loss remains. Amended Qwen passes the planned legitimate-convention criterion; GPT-OSS does not. Source matching therefore does not guarantee faithful note content or general useful cooperation (Appendix H).</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Verification and coordination. On the distinct common set complete for verification comparisons in both original objectives—five Qwen cases and six GPT-OSS cases—the reminder reduces joint-harm probability by 0.50 and 0.42. Relative to coordinated harmful notes, mean team reward falls by 84.2 and 78.4, and duplicate frequency rises from zero to one half. Continuous outsider loss falls from 25.0 to 1.8 for Qwen and from 28.9 to zero for GPT-OSS. The remaining Qwen loss shows why joint harm cannot serve as the sole safety criterion.</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715000" cy="3944815"/>
            <wp:docPr id="1" name="Figure 1" descr="Joint harmful allocations and duplicate task claims for facts alone, both inherited harmful notes and the same notes plus verification, by model."/>
            <wp:cNvGraphicFramePr>
              <a:graphicFrameLocks noChangeAspect="1"/>
            </wp:cNvGraphicFramePr>
            <a:graphic>
              <a:graphicData uri="http://schemas.openxmlformats.org/drawingml/2006/picture">
                <pic:pic>
                  <pic:nvPicPr>
                    <pic:cNvPr id="0" name="v4-figure-1.png" descr="Joint harmful allocations and duplicate task claims for facts alone, both inherited harmful notes and the same notes plus verification, by model."/>
                    <pic:cNvPicPr/>
                  </pic:nvPicPr>
                  <pic:blipFill>
                    <a:blip r:embed="rIdV4Figure1"/>
                    <a:stretch>
                      <a:fillRect/>
                    </a:stretch>
                  </pic:blipFill>
                  <pic:spPr>
                    <a:xfrm>
                      <a:off x="0" y="0"/>
                      <a:ext cx="5715000" cy="3944815"/>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keepLines w:val="1"/>
      </w:pPr>
      <w:r>
        <w:rPr>
          <w:rFonts w:ascii="Old Standard TT" w:hAnsi="Old Standard TT" w:cs="Old Standard TT"/>
          <w:sz w:val="20"/>
          <w:szCs w:val="20"/>
          <w:color w:val="000000"/>
        </w:rPr>
        <w:t xml:space="preserve">Figure 1. Post-hoc common-case diagnostic of the format-expanded audit: five Qwen cases and six GPT-OSS cases, two draws per arm. Verification eliminates joint-harm events in this subset; duplicate counts match facts alone. The prespecified transfer contrast uses seven GPT-OSS cases. Joint-harm absence can mask partial outsider loss.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 that post-hoc comparison, verified and facts-only routes have identical duplicate counts: 5/10 for Qwen and 6/12 for GPT-OSS (Figure 1). Both roles have identical costs and two safe optima. This pattern is consistent with discarding a shared convention without selecting a common replacement. It does not establish that mechanism, nor an unavoidable safety–utility trade-off. Relative to facts alone, verified team reward differs by only −1.6 for Qwen and −1.0 for GPT-OSS on these same cases; the large loss above is relative to the coordinated harmful-note condition.</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1. Structural control: harmful-note verification on complete cases. Binary entries are episode counts; outsider loss is a mean. Qwen has four complete cases and GPT-OSS six, with two draws per cell.</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150"/>
        <w:gridCol w:w="1600"/>
        <w:gridCol w:w="1500"/>
        <w:gridCol w:w="1700"/>
        <w:gridCol w:w="1500"/>
        <w:gridCol w:w="1910"/>
      </w:tblGrid>
      <w:tr>
        <w:trPr>
          <w:cantSplit w:val="1"/>
          <w:tblHeader w:val="1"/>
        </w:trPr>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Model</w:t>
            </w:r>
          </w:p>
        </w:tc>
        <w:tc>
          <w:tcPr>
            <w:tcW w:w="16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Structure</w:t>
            </w:r>
          </w:p>
        </w:tc>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Duplicates</w:t>
            </w:r>
          </w:p>
        </w:tc>
        <w:tc>
          <w:tcPr>
            <w:tcW w:w="17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Safe optimum</w:t>
            </w:r>
          </w:p>
        </w:tc>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Joint harm</w:t>
            </w:r>
          </w:p>
        </w:tc>
        <w:tc>
          <w:tcPr>
            <w:tcW w:w="191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Outsider loss</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Symmetric</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5/8</w:t>
            </w:r>
          </w:p>
        </w:tc>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3/8</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Unique</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4/8</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Symmetric</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10/12</w:t>
            </w:r>
          </w:p>
        </w:tc>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1/12</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0/12</w:t>
            </w:r>
          </w:p>
        </w:tc>
        <w:tc>
          <w:tcPr>
            <w:tcW w:w="1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Task structure and coordination. Under uniqueness, verified duplicates fall to zero in both models. GPT-OSS reaches the safe optimum in 12/12 episodes; Qwen reaches it in 4/8 and still harms an outsider in the remaining four. The primary duplication interaction—verified minus matched, under uniqueness minus symmetry—is −0.625 for Qwen and −0.750 for GPT-OSS. The six-case logical completion ranges are [−1.083, +0.250] and [−0.750, −0.750]. Harmful matched notes still yield joint harm under uniqueness in 5/8 Qwen and 6/12 GPT-OSS episodes. Uniqueness is therefore neither sufficient protection from inherited plans nor a clean test of successor behavior, because donor notes also change.</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2. Fixed-note control: mean safe-optimal effect of the two added shared-rule directions minus fresh verification alone. Each case has two draws per arm. Completion ranges cover the available donor cohort.</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00"/>
        <w:gridCol w:w="1750"/>
        <w:gridCol w:w="2850"/>
        <w:gridCol w:w="3260"/>
      </w:tblGrid>
      <w:tr>
        <w:trPr>
          <w:cantSplit w:val="1"/>
          <w:tblHeader w:val="1"/>
        </w:trPr>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Model</w:t>
            </w:r>
          </w:p>
        </w:tc>
        <w:tc>
          <w:tcPr>
            <w:tcW w:w="17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Complete cases</w:t>
            </w:r>
          </w:p>
        </w:tc>
        <w:tc>
          <w:tcPr>
            <w:tcW w:w="2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Safe-optimal difference</w:t>
            </w:r>
          </w:p>
        </w:tc>
        <w:tc>
          <w:tcPr>
            <w:tcW w:w="3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Completion range</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3</w:t>
            </w:r>
          </w:p>
        </w:tc>
        <w:tc>
          <w:tcPr>
            <w:tcW w:w="2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+0.5</w:t>
            </w:r>
          </w:p>
        </w:tc>
        <w:tc>
          <w:tcPr>
            <w:tcW w:w="3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[+0.375, +0.5]</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2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3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 +0.625]</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 shared safe policy helps with fixed notes. This control retains 119/120 episodes. Its harmful-mode common set contains three Qwen cases and six GPT-OSS cases: verification alone is safe-optimal in 3/6 and 4/12 episodes, first-direction rules in 6/6 and 11/12, and last-direction rules in 6/6 and 12/12. The primary differences are +0.50 and +0.625 (Table 2); the Qwen completion range is [+0.375, +0.500] over four available cases. Every one of the 119 valid outputs, including verification alone, has zero outsider loss and joint harm. The added rule improves coordination here, not observed harm reduction.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With legitimate notes, Qwen is safe-optimal in 8/8 episodes per arm; GPT-OSS improves from 10/12 with verification alone to 12/12 under each rule. Both meet the frozen observed nondecline criterion. The one GPT-OSS rule failure is a duplicate claim despite intact delivery. Full counts, direction-specific effects and the unchanged original figure are in Appendix I.</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3. Fresh factorial control, common complete cases only. Every arm contains the shared safe rule. Four Qwen cases and five GPT-OSS cases contribute one first-direction and one last-direction observation each. Harm means any positive outsider loss.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400"/>
        <w:gridCol w:w="1200"/>
        <w:gridCol w:w="1690"/>
        <w:gridCol w:w="1690"/>
        <w:gridCol w:w="1690"/>
        <w:gridCol w:w="1690"/>
      </w:tblGrid>
      <w:tr>
        <w:trPr>
          <w:cantSplit w:val="1"/>
          <w:tblHeader w:val="1"/>
        </w:trPr>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Notes</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Reminder</w:t>
            </w:r>
          </w:p>
        </w:tc>
        <w:tc>
          <w:tcPr>
            <w:tcW w:w="169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Qwen safe</w:t>
            </w:r>
          </w:p>
        </w:tc>
        <w:tc>
          <w:tcPr>
            <w:tcW w:w="169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Qwen harm</w:t>
            </w:r>
          </w:p>
        </w:tc>
        <w:tc>
          <w:tcPr>
            <w:tcW w:w="169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GPT safe</w:t>
            </w:r>
          </w:p>
        </w:tc>
        <w:tc>
          <w:tcPr>
            <w:tcW w:w="169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GPT harm</w:t>
            </w:r>
          </w:p>
        </w:tc>
      </w:tr>
      <w:tr>
        <w:trPr>
          <w:cantSplit w:val="1"/>
        </w:trPr>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Absent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No</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10/10</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0/10</w:t>
            </w:r>
          </w:p>
        </w:tc>
      </w:tr>
      <w:tr>
        <w:trPr>
          <w:cantSplit w:val="1"/>
        </w:trPr>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Absent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Yes</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10/10</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0/10</w:t>
            </w:r>
          </w:p>
        </w:tc>
      </w:tr>
      <w:tr>
        <w:trPr>
          <w:cantSplit w:val="1"/>
        </w:trPr>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Harmful</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No</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7/8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8/10</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2/10</w:t>
            </w:r>
          </w:p>
        </w:tc>
      </w:tr>
      <w:tr>
        <w:trPr>
          <w:cantSplit w:val="1"/>
        </w:trPr>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Harmful</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Yes</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10/10</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Notes and verification under a shared rule. The control retains 79/80 episodes, with one unresolved request. On the complete cases in Table 3, notes without the reminder produce one partial outsider harm for Qwen and two for GPT-OSS; all other cells are safe-optimal. The primary note-by-reminder interaction is +0.125 and +0.200. Logical completion ranges over all four and six available cases are [+0.125, +0.125] and [+0.167, +0.250], respectively; the latter covers a different cohort from the five-case point estimate. All 79 valid episodes have zero joint harm and zero duplicates. The three failures are nonoptimal allocations with partial outsider loss, demonstrating again why joint harm alone is insufficient (Appendix J).</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5. Discussion and Limitations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evidence supports harmful instructed-plan transfer and conditional remedies. Verification reduces that transfer while leaving coordination failures in some successor pairs. A shared safe policy improves coordination, but the factorial control qualifies any claim that the rule alone suffices: three partial harms occur with inherited notes and no reminder. No such failures occur with the reminder on the matched cases. This is consistent with competition between note content and the safe policy; it does not identify internal verification, prove convention loss is the sole mechanism or establish that verification is generally necessary.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Scope is narrow: a transparent allocation fixture, scripted outsiders, full outcome tables, selected donor availability and few within-case observations. The handoff audit has substantial potentially informative attrition and a post-start parser amendment; later designs were motivated by observed results. Model-specific notes mix sender and receiver behavior, and their errors remain part of the primary channel. The final factorial comparison adds note-free and reminder-free controls, but every arm still contains the shared rule and no new legitimate-note arm is included. Removing notes removes their full content, not just harmful recommendations. Its positive interaction rests on three failures across two cases; no significance or equivalence claim is made.</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6. Conclusion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 this task, inherited notes carried instructed harmful allocations into neutral successors. Verification reduced harm but could disrupt coordination relative to coordinated harmful notes. Task structure and a shared safe rule improved coordination; the final factorial control additionally found partial harm under that rule only when harmful notes were present and the reminder absent. The useful result is therefore a conditional combination: check inherited recommendations and provide a common safe decision policy. Handoff defenses should be evaluated on outsider harm and successful safe coordination together, rather than treating the absence of joint harm as a completed cooperative solution.</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Code and Data</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Code, raw model responses, frozen protocols, analyses and report sources are retained in the private repository https://github.com/frnkptrln/inherited-collusion. Access is restricted; this is not a public data release. The complete local research archive and its offline reproduction checks remain available to the author.</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References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[1] Mason Nakamura, Abhinav Kumar, Saswat Das, Sahar Abdelnabi, Saaduddin Mahmud, Ferdinando Fioretto, Shlomo Zilberstein and Eugene Bagdasarian. 2026. Colosseum: Auditing Collusion in Cooperative Multi-Agent Systems. arXiv:2602.15198v2. https://arxiv.org/abs/2602.15198v2</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[2] Debeshee Das, Jacqueline Tay, Bruce Tsai, David Huang and Javier Rando. 2026. Self-Propagating Misalignment in LLM Agents, and Why Auditing or Disabling Memory Is Not Enough. arXiv:2610.04083v1. https://arxiv.org/html/2610.04083v1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[3] Zheng Lin, Yuzhe Huang, Zhenxing Niu, Xianmin Ye and Haichang Gao. 2026. Salami Attack: Stealthy Collusive Memory Poisoning against OpenClaw. arXiv:2608.01637v1. https://arxiv.org/html/2608.01637v1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[4] Poseidon Research. Collusion Hackathon starter repository. https://github.com/poseidon-research/collusion_hackathon. The companion package retains the upstream revision and local adaptation.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[5] Liangqi Yuan, Wenzhi Fang, Shiqiang Wang and Christopher G. Brinton. 2026. Theory of Scene: Breaking the Symmetry Trap in Multi-Agent LLM Coordination. arXiv:2609.32939v1. https://arxiv.org/html/2609.32939v1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[6] Ido Aharon, Emanuele La Malfa, Michael Wooldridge and Sarit Kraus. 2026. Tacit Coordination of Large Language Models. arXiv:2601.22184v2. https://arxiv.org/html/2601.22184v2</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A. Limitations, dual use and ethics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Inference is limited by donor-driven redesign, post-start format amendment, potentially informative attrition, eight original task clusters per model, two nested draws, a full outcome table, scripted outsiders and independent one-shot recipients. Models write different notes; provider weights and reasoning defaults are unverified; semantic reviews are AI-assisted. The audit estimates conditional delivery of the notes actually produced, not unconditional inheritance of a faithfully represented goal. Broader tests should separate sender and recipient models, use blinded human annotation, controlled note edits and additional tasks. The local companion package preserves protocols, raw calls, annotations, analyses and source hashes; no public archive or submission is claimed. The V5 structural control added six planned clusters per model (four complete for Qwen); V6 reuses those available symmetric donor cases. Neither is an independent task-family replication. Diagnostic mistakes remain included. Changing cost geometry changes the task and regenerated notes jointly; model-specific notes prevent a clean capability ranking. No universal claim follows from a unique optimum in these fixtures.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All objectives concern synthetic task allocation among simulated agents. No person or organization loses resources. The experiment does not manipulate an external system, contact targets or deploy agents. Intended safety use is testing unwanted convention transfer and the utility cost of handoff interventions. The same evidence could help design malicious memory payloads; examples therefore remain scoped to transparent toy-task recommendations, without real targets, stolen context, evasion optimization or operational exploitation. Negative and missing results must accompany dissemination.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Joint harm is task-specific: taking both outsider specialties shifts reward from C/D to A/B relative to the cooperative optimum. Partial outsider harm exists when this binary endpoint is zero. Total team reward can nevertheless improve against a collision-prone facts-only baseline; none of these metrics substitutes for the others. Crossed sources also damage legitimate conventions. Supplying an original coalition objective does not demonstrate spontaneous collusion, negotiation or continuing private intent. Matching reported model IDs is a provenance check, not independently verified served weights.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Sender errors and annotation uncertainty limit interpretation. Recipient-assignment flags cover incorrect, missing or ambiguous future instructions, not necessarily role swaps. Derived optimality claims differ from primitive facts; unknown claims fail the strict secondary subset. Its selection on content can bias comparisons. The original V4/V4F actual-task convention checks combine sender and receiver behavior; GPT-OSS fails that criterion despite successful simple probes. Neither model’s results support general robustness, a capability ranking or verified safety of a deployment.</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B. Chronology, preservation and reproducibility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Version mapping for this revision: “strict handoff audit” denotes V4; “format-expanded handoff audit” denotes V4F, a post-start continuation using the original data once; “structural control” denotes V5; “fixed-note control” denotes V6. The fresh factorial control of note and reminder presence is V7. These labels identify successive locally frozen studies and amendments, not independent task-family replications.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Three initial attempts yielded 18 probe responses and no original-agent or successor episodes. Two Qwen-235B Instruct attempts failed the then-current task-choice gate for the agent’s own action. A third requested Qwen-235B Thinking but every response reported a different model identifier, preventing attribution to the requested model; actual served weights remain unknown. V3 then produced 28 calls and no successors: DeepSeek failed a competence check, while a Qwen pilot’s notes failed fidelity review. After a strict review rejected false optimality claims, Amendment 01 allowed separately annotated derived false claims before successors; a later note still directed B to A’s task. These failed protocols and observations are preserved.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V4 analysis plan and execution source were frozen at 17:52:39 UTC on 23 October 2026. The post-start format amendment was recorded at 18:30:29 UTC. Its executable freeze followed strict closeout; full timing is given below. Strict Qwen-206 supplied the correct probe assignment and cost inside a JSON fence. Original response identifiers and format failures were retained without repair in the strict analysis.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V4–V6 requests use Qwen/Qwen3.6-35B-A3B and openai/gpt-oss-120b through Hugging Face Inference Providers with DeepInfra explicitly selected. No reasoning_effort or extra_body was supplied; the provider reasoning default is unspecified. Exact returned model IDs, complete finish and bounded reported usage were required after raw-response storage. These provenance and resource checks do not identify the actual served weights or the provider’s internal reasoning settings.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Strict Qwen had one probe-format stop and six successor-format stops; only one case completed. The amended Qwen record has five complete cases, two unresolved provider calls (201/202) and one retained nonpermitted-format stop (205). GPT-OSS has six complete cases and two unresolved tails (202/204) in both analyses. All four unresolved requests retain HTTP 504 evidence without a saved model response and were never retried. Their prior valid prefixes remain usable. No new GPT-OSS call was made in V4F.</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Across models, V4F reuses 1,079 original requests and adds 170 previously undispatched requests (168 responses). Among inherited responses, six whole JSON fences are admitted and one different format remains invalid; three newly collected responses use the permitted fence. Of 439 valid amended episodes, 362 use only inherited successor calls, 75 only new calls and two mix inherited/new calls. This includes 360 originally valid episodes, two wholly cached format recoveries and 77 episodes requiring new calls. Later collection introduces temporal/provider-drift uncertainty despite unchanged generation settings.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original V4 source hash is c2eb3261a675d530d1c33f61a462f7f04424503dd6721da2023538e79aed09f7. The continuation source hash is 0925aaf228c3fc283bdb05ca3561b5c9e90d4be519ad8e8aed391cf51e4394d9. The all-18 preparation barrier verified all original inventories, archived allocations, retired old ledger and byte-exact ancestry before new requests. Strict closeout was recorded at 19:26:28.783435 UTC, executable continuation freeze at 19:26:35.780551 UTC, and final continuation closeout at 20:24:53.122794 UTC on 23 October 2026. Eight old-note reviews per existing case retain their original timing; new Qwen-206 notes were reviewed at 19:42:47.507149 UTC with zero successor requests or episodes in that case.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report’s balanced strict/amended tables and appendix arm plots were chosen at 18:31:25 UTC before aggregate-effect inspection. This was not complete outcome blinding. During technical diagnosis of Qwen-205, a partially filtered summary accidentally exposed a partial case contrast and individual outcomes after both relevant freezes. The exact event time is unknown, bounded to 19:32:24–19:34:04 UTC; docs/v4f-outcome-visibility-note.json was recorded at 19:34:19.986017 UTC. No study rule or planned outcome display was changed in response, and the case remained stopped. No model-level aggregate analysis had been opened at that incident.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immutable invoked_at field is the first local invocation before dispatch guards. Legacy dispatch.json is overwritten on successful response saving, so its final timestamp is not an exact preserved network-send time. No exact provider-receipt time is measured. Separate source ancestry and strict closeout before the new freeze distinguish original and continuation calls. Raw responses are saved before identity, finish, usage or content validation; uncertain dispatches are never retried. The four unresolved requests retain reservations without inventing response usage.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Before V4, 112 offline tests passed. Before V4F, 138 tests passed in 16 isolated processes: 112 baseline, 13 continuation-runner, eight continuation-analysis and five completion-bound tests. The continuation adapts parsers in its own process, so strict and amended CLIs/analyses run separately. Seven later synthetic packaging tests cover offline copying/reanalysis, distinct from frozen runtime validation. Independent raw-data checks for both final analyses report zero discrepancies. These checks are software/evidence validation, not independent human confirmation or additional model observations.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Reproduce numeric analyses from the package using the retained command instructions and standard-library checkers. The report source contains build_report.py, the official DOCX template, the finalized report-input.json and Python dependency versions; all evidence and image references are relative or accept an explicit project root. PDF rendering separately requires LibreOffice, Poppler and the template’s Old Standard TT font. The saved DOCX remains editable. Each analysis, figure and evidence input is hash-bound in the report input/audit and package manifest. Exact stochastic generation or an unchanged future endpoint is not promised.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24 October 2026 editorial review moved exploratory and technical history to this appendix and clarified the own-action pilot checks and the distinction between a frozen analysis plan and later analysis implementation. It added a post hoc baseline comparison without changing any raw response, primary analysis, table value or figure. The comparison uses amended Qwen cases 203, 204, 206, 207 and 208, and GPT-OSS cases 201, 203, 205, 206, 207 and 208; both harmful-mode draws for facts, same-source p0 and verification are present in every selected case. It uses the previously defined cases complete for verification in both modes. Mean harmful-mode team reward for facts versus verification is 283.2 versus 281.6 for Qwen and 283.67 versus 282.67 for GPT-OSS. Strict GPT-OSS shares this pattern, but strict Qwen has only one common case: facts alone yields one duplicate in two episodes and verification two in two. A reproducible supplementary checker records these calculations and the symmetric main-case costs. The prior report remains preserved. At that review the tie-break control was only a proposal; V6 now tests an added common safe policy with fresh responses.</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C. Budget and AI assistance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historical V4 phase ceiling was $8.328 and retained historical ceiling $1.594, totaling $9.922 against the authorized approximately $15. V4F consolidates 1,249 unique requests and 1,245 responses: 1,079/1,077 inherited and 170/168 new. Its $1.879012307 provider usage estimate includes the original strict $1.329675207 once; adding that strict amount again would double-count. Historical estimates add $0.04366364, giving $1.922675947 through the V4F cutoff. V4/V4F reservations total $7.282 and retain four unresolved requests without usage. Estimates and reservations are not invoices or settled charges. Each call is bounded by max(raw,NFC) serialized message bytes up to 10,000, an assumed 2,048 framing tokens and 8,192 output tokens; remote tokenizer/framing assumptions are not independently certified.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historical V5 structural follow-up adds 683 requests and 682 responses, with a provider usage estimate of $0.968909138. Adding the historical $1.922675947 once gives $2.891585085 for known returned responses through V5. At the V5 freeze, its $4.896 allocation plus retained prior ceilings totaled $14.818 under the authorized $15. One additional unresolved request has no reported usage, bringing historical plus follow-up unresolved requests to five. These estimates do not establish invoiced cost.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V6 adds 239 requests and responses, with no unresolved request, and a returned usage estimate of $0.323019210. The cumulative estimate for known returned responses is therefore $3.214604295, not an invoice; five unresolved historical calls still lack usage. Before V6, releasing $1.330 of unused closed V5 allocations and adding a $1.248 cap placed the conservative total allocation at $14.736, within the $15 authorization. Dispatched V6 reservations total $1.238. Release changed no closed raw record or prior result.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OpenAI Codex assisted with study design, literature checking, code, prompts, tests, evidence review, semantic annotation, analyses, figures and writing. Separate Codex agents performed code and scientific reviews, including disagreements about V3 eligibility. These are AI-assisted checks, not independent human verification. Evaluated models generated the retained experimental responses. Frank Peterlein initiated the project and authorized its budget; no claim is made that he independently verified every computation or wrote the prose without AI assistance.</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D. Original strict population: all delivery routes</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7400436"/>
            <wp:docPr id="2" name="Figure 2" descr="Strict V4 outcomes for both models across all delivery routes, with unequal valid denominators and missingness."/>
            <wp:cNvGraphicFramePr>
              <a:graphicFrameLocks noChangeAspect="1"/>
            </wp:cNvGraphicFramePr>
            <a:graphic>
              <a:graphicData uri="http://schemas.openxmlformats.org/drawingml/2006/picture">
                <pic:pic>
                  <pic:nvPicPr>
                    <pic:cNvPr id="0" name="v4-figure-2.png" descr="Strict V4 outcomes for both models across all delivery routes, with unequal valid denominators and missingness."/>
                    <pic:cNvPicPr/>
                  </pic:nvPicPr>
                  <pic:blipFill>
                    <a:blip r:embed="rIdV4Figure2"/>
                    <a:stretch>
                      <a:fillRect/>
                    </a:stretch>
                  </pic:blipFill>
                  <pic:spPr>
                    <a:xfrm>
                      <a:off x="0" y="0"/>
                      <a:ext cx="5943600" cy="7400436"/>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keepLines w:val="1"/>
      </w:pPr>
      <w:r>
        <w:rPr>
          <w:rFonts w:ascii="Old Standard TT" w:hAnsi="Old Standard TT" w:cs="Old Standard TT"/>
          <w:sz w:val="20"/>
          <w:szCs w:val="20"/>
          <w:color w:val="000000"/>
        </w:rPr>
        <w:t xml:space="preserve">Figure D1. Strict V4. Each arm averages complete cases (n), two draws each. These summaries do not substitute for paired case contrasts.</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E. Post-start amended population: all delivery routes</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7400436"/>
            <wp:docPr id="3" name="Figure 3" descr="Amended V4F outcomes for both models across all routes, including harmful joint outcomes, outsider loss and legitimate team-reward loss."/>
            <wp:cNvGraphicFramePr>
              <a:graphicFrameLocks noChangeAspect="1"/>
            </wp:cNvGraphicFramePr>
            <a:graphic>
              <a:graphicData uri="http://schemas.openxmlformats.org/drawingml/2006/picture">
                <pic:pic>
                  <pic:nvPicPr>
                    <pic:cNvPr id="0" name="v4-figure-3.png" descr="Amended V4F outcomes for both models across all routes, including harmful joint outcomes, outsider loss and legitimate team-reward loss."/>
                    <pic:cNvPicPr/>
                  </pic:nvPicPr>
                  <pic:blipFill>
                    <a:blip r:embed="rIdV4Figure3"/>
                    <a:stretch>
                      <a:fillRect/>
                    </a:stretch>
                  </pic:blipFill>
                  <pic:spPr>
                    <a:xfrm>
                      <a:off x="0" y="0"/>
                      <a:ext cx="5943600" cy="7400436"/>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keepLines w:val="1"/>
      </w:pPr>
      <w:r>
        <w:rPr>
          <w:rFonts w:ascii="Old Standard TT" w:hAnsi="Old Standard TT" w:cs="Old Standard TT"/>
          <w:sz w:val="20"/>
          <w:szCs w:val="20"/>
          <w:color w:val="000000"/>
        </w:rPr>
        <w:t xml:space="preserve">Figure E1. Amended V4F shares original observations with V4; GPT-OSS is unchanged. Complete-case arm means (n) are not independent replications or paired contrasts.</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F. Original secondary results and completion sensitivity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Actual-task convention use requires at least 12 of 16 planned legitimate same-p0 episodes and separately 12 of 16 same-p1 episodes to follow their supplied plans. Missingness cannot help this criterion pass; it is descriptive, not an execution gate. Secondary source pairing uses (Y00 + Y11 − Y01 − Y10)/2, preserving marginal source exposure. It is not automatically semantic compatibility; note-presence interactions on a conjunctive endpoint can also be mechanical, not strategic interaction. A strict secondary note subset requires accurate primitive facts, clearly faithful role instructions, no refusal/labels and all derived claims true; uncertain claims fail it. Content selection and AI judgment limit that subset.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One-note and crossed-source arms have no observed joint-harm episodes in either population, but retain continuous outsider loss. Across available amended harmful episodes, one-note outsider loss averages 14.2–16.4 (Qwen A/B: 14/13 valid; GPT: 14/14); crossed-source loss averages 14.4–19.3 (Qwen 14/14; GPT 16/15). Each arm planned 16. Appendix plots instead average only cases with both draws complete. Crossed legitimate Qwen notes produce duplicates in every valid episode (13/13 and 12/12), damaging useful coordination. The balanced same-versus-crossed contrast raises harmful joint harm by 0.40 for Qwen over five complete cases and 0.50 for GPT-OSS over six; strict counterparts are 0.50 over one and six cases. This does not establish strategic complementarity or a universal benefit from disrupting source pairing.</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All 64 amended Qwen notes were annotated as having accurate primitive facts and clearly faithful recipient assignments, but 18/32 harmful notes contain false derived claims (often global cost optimality); one legitimate note also has a false claim. Its strict harmful-note subset yields no complete primary comparison. GPT-OSS has one harmful and nine legitimate notes with primitive errors, and two harmful and 20 legitimate notes with incorrect, absent or ambiguous recipient assignments. Its content-selected harmful subset retains p0 +0.50 over three cases, p1 +0.67 over three and verification −0.50 over two. These secondary observations cannot identify the causal role of individual false claims.</w:t>
      </w:r>
    </w:p>
    <w:p w:rsidR="00000000" w:rsidDel="00000000" w:rsidP="00000000" w:rsidRDefault="00000000" w:rsidRPr="00000000">
      <w:pPr>
        <w:pStyle w:val="Heading3"/>
        <w:spacing w:before="200" w:lineRule="auto"/>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Sensitivity to missing planned outcomes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Post-start logical completion bounds retain all eight planned cases and two draws, using [0,1] for joint harm and each task’s 16 public outcomes for continuous ranges. For strict Qwen, the p0 harm contrast spans −0.125 to +0.688; for amended Qwen it spans +0.313 to +0.625. GPT-OSS spans +0.375 to +0.500 in both. Strict and amended verification bounds are −0.688 to +0.500 and −0.625 to −0.063 for Qwen, and −0.500 to −0.188 for GPT-OSS. These are arithmetic completion envelopes, not confidence intervals, assumptions of random missingness or identified handoff-effect bounds for nonexistent strict Qwen-206 notes. Complete-case findings remain separately conditioned on availability.</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G. Structural control evidence and results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V5 was motivated by the post hoc symmetry diagnostic, then locally frozen at 10:38:02.550157 UTC on 24 October 2026 before any V5 requests. It closed at 2026-10-24T11:37:52.501506+00:00. Six seeds (301–306) per model yield twelve fixed cases and at most 816 calls: four diagnostic probes, sixteen original-agent action/note calls and forty-eight successor calls per case. Original action commitment precedes note writing. Assigned original orientation alternates with seed parity. Both structures and objectives have fresh originals; semantic note quality never filters the primary population.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closed V5 record contains 683 requests and 682 saved responses. Four Qwen cases and all six GPT-OSS cases complete all 24 planned episodes each. Qwen-302 supplies a correct optimal allocation with disallowed introductory prose: this is a format-policy exclusion, not a reasoning failure. Qwen-305 has two requests, one response and an unresolved second probe; neither case produces notes or successor episodes. Of 48 planned probes, 43 were dispatched and 42 responses saved. Forty of 41 schema-valid responses are semantically correct (Qwen 16/17; GPT-OSS 24/24). Qwen-301’s symmetric B probe gives a technically valid but nonoptimal duplicated assignment; its 3/4 result does not exclude the case, as specified.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structural perturbation changes only the two nonpreferred safe A/B cells by +1. It preserves optimal total cost, the assigned safe/harmful-plan outcomes and outsider aggregate reference payoff, but the lexicographic full reference allocation and individual A/B reference payoffs may change. All sixteen public outcomes are recomputed for each structure. Independent recipients receive the same instruction construction and visibility, not identical numeric outcome tables across structures. The paired comparison includes both these task changes and newly generated notes.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After closure, one agent-assisted reviewer read all 80 notes (32 Qwen, 48 GPT-OSS), retaining 16 missing slots among 96 planned. All JSON task fields match committed original actions. Under the disclosed coding rules, 60 notes clearly convey the assigned future A/B allocation, 19 do not and one is unclear; both notes do so in 26/40 pairs. Clear conveyance counts are 31/32 for Qwen and 29/48 for GPT-OSS. These are descriptive annotations, not independent observations or evidence of recipient compliance. No semantic code changes eligibility or any effect estimate.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review identifies one explicit wrong own-recipient instruction, 18 absent concrete future mappings and one unclear provisional mapping. For example, an A note accurately reports its own T1 action but tells its A successor to take B’s T2. Six GPT-OSS notes misstate the all-agent choice mechanism; six Qwen notes make false cost-minimum claims. Nine derived-claim assessments remain undecided. Categories can overlap. Excerpts, rationales, raw-note hashes, original context and the codebook are retained in evidence/v5-content-review.</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Annotation finished at 11:45:19.145220 UTC and was sealed at 11:46:43.856927 UTC on 24 October, after raw closure. The reviewer attests to not opening successor responses, episodes, run summaries or aggregate results, but knew model, structure, objective, role and original plan. This is not an automated proof of blinding, metadata-blind coding or independent inter-rater validation. The note review describes sender heterogeneity; it does not establish a behavioral correlation or a successor mechanism.</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G1. Harmful-mode follow-up on common complete cases: Qwen n=4/6 (301, 303, 304, 306); GPT-OSS n=6/6 (301–306), two draws each. Binary columns are episode counts; losses are equal-case means relative to the cooperative optimum. GPT denotes GPT-OSS.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250"/>
        <w:gridCol w:w="1050"/>
        <w:gridCol w:w="1150"/>
        <w:gridCol w:w="1300"/>
        <w:gridCol w:w="1050"/>
        <w:gridCol w:w="135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Structure</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optimum</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Joint harm</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Outsider loss</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124</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29.375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123.375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34.125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24.125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182.25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27.917</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35.083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166.917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26.083</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18.667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G2. Legitimate-mode arms, with the same complete case sets as Table G1. Binary columns are episode counts; continuous losses are means.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250"/>
        <w:gridCol w:w="1050"/>
        <w:gridCol w:w="1150"/>
        <w:gridCol w:w="1300"/>
        <w:gridCol w:w="1050"/>
        <w:gridCol w:w="135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Structure</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optimum</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Joint harm</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Outsider loss</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173.25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1.875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26.25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132.667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65.833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99.333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Selected structure contrasts and completion sensitivity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Tables G3–G4 show the prespecified primary interaction and key verified/facts structure contrasts, using the same four Qwen or six GPT-OSS paired cases in each objective. All 44 model/objective contrast records and eight metrics are retained in output/analysis-v5/analysis.json. The interaction is (verified − matched)unique − (verified − matched)symmetric. Other rows subtract symmetric from unique for the named route. Each case contributes its two-draw mean. Bounds allow every absent planned slot to take any legal task outcome; they are logical completion envelopes, not sampling intervals or identified effects of nonexistent notes in the two missing Qwen cases. A degenerate interval reflects complete finite coverage, not certainty about future tasks or calls. The GPT-OSS primary interaction is negative in five cases and positive in one; the aggregate is not a claim that every case improves.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G3. Harmful structure contrasts. U−S denotes unique minus symmetric; positive team loss is worse.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600"/>
        <w:gridCol w:w="550"/>
        <w:gridCol w:w="1100"/>
        <w:gridCol w:w="1900"/>
        <w:gridCol w:w="1000"/>
        <w:gridCol w:w="100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6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5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n/6</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duplicate</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safe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harm</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[−1.083, 0.25]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−117.75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−0.083]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−113.625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−0.083]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−0.75]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−150.5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−0.833</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[−0.833, −0.833]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−166.917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 −0.917]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−182.25</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G4. Legitimate structure contrasts. U−S denotes unique minus symmetric; positive team loss is worse.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600"/>
        <w:gridCol w:w="550"/>
        <w:gridCol w:w="1100"/>
        <w:gridCol w:w="1900"/>
        <w:gridCol w:w="1000"/>
        <w:gridCol w:w="100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6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5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n/6</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duplicate</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safe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harm</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0.583]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[−0.417, 0.25]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[−0.833, −0.167]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−147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 −0.5]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−99.333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 −0.667]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−132.667</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Facts-only improvement is not inferred from verified responses. In harmful mode, uniqueness reduces duplicates by 0.625 for Qwen and 0.917 for GPT-OSS, while safe-optimal frequency rises by 0.500 and 0.917. In legitimate mode, the corresponding changes are −0.750/+0.625 and −0.667/+0.667. The two nominal original modes have identical facts-only prompts within a role and structure; different rates reflect separate stochastic draws, not an original-mode treatment. Under uniqueness, optimal behavior may follow from public facts alone and does not prove note processing. Qwen unique harmful verification has lower safe-optimal frequency than facts alone (4/8 versus 7/8), and greater mean outsider loss (12 versus 3.5). All four nonoptimal verified episodes have positive outsider loss; joint harm remains zero. These metrics distinguish absent coordinated harm from successful safe task completion.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independent standard-library countercheck recomputes all 240 saved joint outcomes with exact arithmetic and agrees with the analysis on group summaries, paired contrasts and finite completion bounds. This validates arithmetic and retained evidence, not the causal interpretation or served weights. Software validation is distinct from the model observations. The finalized V5 analysis and checker outputs, twelve raw run folders, protocol, freeze, closure, source snapshots and budget ledger are included in the companion package. The reviewed V4 package remains preserved byte-for-byte as historical evidence; no new public archive or submission is claimed.</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H. Original delivery design and complete primary results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H0. Retained historical stage counts. The former main-table values are preserved unchanged; strict and amended populations overlap.</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00"/>
        <w:gridCol w:w="1900"/>
        <w:gridCol w:w="1900"/>
        <w:gridCol w:w="3760"/>
      </w:tblGrid>
      <w:tr>
        <w:trPr>
          <w:cantSplit w:val="1"/>
          <w:tblHeader w:val="1"/>
        </w:trPr>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Study</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Qwen valid / planned</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GPT-OSS valid / planned</w:t>
            </w:r>
          </w:p>
        </w:tc>
        <w:tc>
          <w:tcPr>
            <w:tcW w:w="37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Comparison scope</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Original strict V4</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127/256</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233/256</w:t>
            </w:r>
          </w:p>
        </w:tc>
        <w:tc>
          <w:tcPr>
            <w:tcW w:w="37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Eight cases per model</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Amended V4F</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206/256</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233/256</w:t>
            </w:r>
          </w:p>
        </w:tc>
        <w:tc>
          <w:tcPr>
            <w:tcW w:w="37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Same planned cohort</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Structure control V5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96/144</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144/144</w:t>
            </w:r>
          </w:p>
        </w:tc>
        <w:tc>
          <w:tcPr>
            <w:tcW w:w="37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Four / six complete cases</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Fixed-note V6</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47/48</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72/72</w:t>
            </w:r>
          </w:p>
        </w:tc>
        <w:tc>
          <w:tcPr>
            <w:tcW w:w="37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Four / six available donor cases</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following material preserves the full original delivery comparison and its prespecified interpretation checks. Strict V4 and amended V4F overlap. Complete-case counts vary by contrast; main-text summaries do not replace these denominators.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Eight fixed cases per model, seeds 201–208, vary costs and task labels. A and B have identical cost vectors in each main case. Each objective has two role-swapped plans, p0 and p1: legitimate plans leave the two outsider specialties available and are equally team-optimal; harmful plans take both specialties, benefiting A+B and harming C+D relative to the cooperative reference. Exhaustive enumeration checks these properties. Each case has four original branches: harmful or legitimate objective, each with p0 or p1 supplied by the experimenter. Two original action calls must execute the assigned plan; their scored joint outcome is committed before two note-writing calls. Each writer addresses only its own replacement. The new round resets tasks to unclaimed, leaves costs fixed and treats old rewards as sunk.</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Each model passes a seed-902 qualification; each main case repeats two full-allocation probes on an asymmetric unique-optimum fixture and four queue-note probes. Required own task, assignment and cost must be correct. A failed gate stops the case without replacement. Queue probes establish elementary note access, not actual-task convention use. Notes must have valid schema, known task, nonempty text within 2,000 characters and bounded successor prompts. Reported task may differ from original action. Hash-bound AI annotations precede that case’s successors.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H1. Fixed delivery routes, repeated in both original-objective modes. A dash means only public task facts; p0/p1 denote original source branches.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100"/>
        <w:gridCol w:w="1350"/>
        <w:gridCol w:w="1350"/>
        <w:gridCol w:w="4560"/>
      </w:tblGrid>
      <w:tr>
        <w:trPr>
          <w:cantSplit w:val="1"/>
          <w:tblHeader w:val="1"/>
        </w:trPr>
        <w:tc>
          <w:tcPr>
            <w:tcW w:w="2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 note</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B note</w:t>
            </w:r>
          </w:p>
        </w:tc>
        <w:tc>
          <w:tcPr>
            <w:tcW w:w="45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Extra instruction</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Same 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 only</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 only</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Cross 01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Cross 10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Same 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Check public objective</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verification reminder asks the recipient to check a note against public rules and all-four-agent cost, retaining compatible recommendations and disregarding conflicts. It supplies no solution and does not establish that a checking algorithm ran. Each successor receives its neutral instruction, public facts and own note only. Facts-only prompts are identical across nominal modes but separately sampled. Within each case, fixed-seed shuffling orders mode, route and repeat. Two draws per mode/route yield 32 planned joint episodes per case, 256 per model and 512 overall. There are eight task clusters per model, not 512 independent samples; repeated draws share notes.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Joint harm requires both distinct outsider specialties to be taken with positive coalition gain and outsider loss against the cooperative reference. Continuous outsider loss, team reward/loss, completion and duplicates accompany this binary endpoint. The three primary contrasts are same p0 minus facts, same p1 minus facts and verify p0 minus same p0. Each contrast requires both repeated draws and all compared cells within a case; we average within complete cases and weight those cases equally. Missing outcomes are never zero. We report finite-sample observations and case denominators, without significance tests or population confidence intervals.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Actual-task convention use requires at least 12/16 planned legitimate episodes separately for same-p0 and same-p1; missingness cannot help it pass. This is a descriptive manipulation check, not an execution gate. Secondary source-pairing and stricter note-content analyses appear in Appendix F. Source compatibility, mechanical conjunction in joint harm and content-selection bias preclude interpreting them directly as strategic interaction.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Both model qualifications passed all six probes. Strict V4 admitted 15/16 main cases and generated 120 notes. One correct competence response was rejected solely because it appeared inside a JSON fence. Its later admission in V4F added eight notes, annotated before that case’s successors, for 128 total. All other original notes and annotations were inherited unchanged. Strict V4 saved 366 episode records, of which 360 were valid; V4F saved 440, of which 439 were valid. A saved failure record is not a completed episode.</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H2. Stage flow by population and model. Each row plans eight cases and 256 episodes. Valid and missing/invalid partition that fixed episode denominator; “full” means all 32 episodes in a case completed.</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00"/>
        <w:gridCol w:w="1250"/>
        <w:gridCol w:w="1400"/>
        <w:gridCol w:w="1000"/>
        <w:gridCol w:w="1000"/>
        <w:gridCol w:w="1410"/>
        <w:gridCol w:w="1800"/>
      </w:tblGrid>
      <w:tr>
        <w:trPr>
          <w:cantSplit w:val="1"/>
          <w:tblHeader w:val="1"/>
        </w:trPr>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Population</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Model</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Cases passing probes</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Saved</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Valid</w:t>
            </w:r>
          </w:p>
        </w:tc>
        <w:tc>
          <w:tcPr>
            <w:tcW w:w="141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Missing</w:t>
            </w:r>
          </w:p>
        </w:tc>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Full cases</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Strict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7/8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127</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129</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Strict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GPT-OSS</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6/8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Amended</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206</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50</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233</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Strict Qwen had one probe-format stop and six successor-format stops, leaving one fully completed case. Amended Qwen has five complete cases, two unresolved requests and one retained format stop. GPT-OSS has six complete cases and two unresolved requests in both analyses. These four unresolved requests have no saved response and were never retried; their earlier valid episode prefixes remain usable.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amended analysis incorporates original calls and later, previously undispatched calls; it is not pooled with the original analysis. GPT-OSS received no new calls. Later collection introduces temporal or provider-drift uncertainty despite unchanged generation settings. Appendix B gives the complete reuse and recovery accounting.</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H3. All primary complete-case contrasts. ΔH is harmful-mode joint harm probability; ΔO is harmful-mode outsider reward loss; ΔL is legitimate-mode team reward loss. H/L case counts have separate denominators of eight. Negative ΔL is improved legitimate team reward. Values are differences, not arm-level rates.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00"/>
        <w:gridCol w:w="1750"/>
        <w:gridCol w:w="1050"/>
        <w:gridCol w:w="1050"/>
        <w:gridCol w:w="1100"/>
        <w:gridCol w:w="1050"/>
        <w:gridCol w:w="1560"/>
      </w:tblGrid>
      <w:tr>
        <w:trPr>
          <w:cantSplit w:val="1"/>
          <w:tblHeader w:val="1"/>
        </w:trPr>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Population / model</w:t>
            </w:r>
          </w:p>
        </w:tc>
        <w:tc>
          <w:tcPr>
            <w:tcW w:w="17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H cases</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ΔH</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ΔO</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L cases</w:t>
            </w:r>
          </w:p>
        </w:tc>
        <w:tc>
          <w:tcPr>
            <w:tcW w:w="15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ΔL</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+21.5</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-98.0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+27.2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-98.0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-0.25</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-15.2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-69.8</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-0.42</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-28.9</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+25.0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-59.2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+19.7</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-59.2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-69.8</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-0.42</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-28.9</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Both models in strict data have observed within-case transfer: a valid p0 delivery is harmful when its paired facts-only draw is not. Only GPT-OSS meets the fixed repeated descriptive pattern rule in strict data (positive p0 contrast in five of seven complete cases); Qwen’s strict p0 estimate rests on one case. In amended data, Qwen’s p0 contrast is +0.50 over five complete cases, positive in four; GPT-OSS remains +0.43 over seven, positive in five. The remaining complete-case contrasts are zero. The p1 contrast is also positive in both models (Table H3). These are conditional delivery effects of produced notes in this task, not population estimates or independent replications.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For amended Qwen, observed harmful same-p0 outcomes are 7/13 valid and same-p1 5/13; both arms planned 16. GPT-OSS has 6/14 and 9/14 respectively. Facts-only has zero joint harm (Qwen 0/14, GPT-OSS 0/16 in harmful mode), yet often duplicates: 9/14 and 10/16. Consequently, harmful notes can increase team reward relative to an uncoordinated baseline while shifting reward away from outsiders. The primary harmful p0 contrast increases team reward by 82.6 for Qwen and 90.6 for GPT-OSS, alongside outsider losses of 25.0 and 29.8. “Harm” here is a distributional endpoint, not equivalent to lower total team reward.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Amended Qwen follows both legitimate conventions in 14/16 planned episodes each (14 valid each), satisfying the actual-task criterion. Strict Qwen reaches 8/16 each. GPT-OSS reaches only 9/16 p0 and 4/16 p1 (15 and 14 valid) in both populations. Its notes often give incorrect or ambiguous recipient instructions, so this is a channel limitation rather than a clean recipient-competence test. Neither model qualifies for a negative claim about harmful handoffs.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On cases complete for both harmful and legitimate verification comparisons, the reminder lowers amended joint harm by 0.50 for Qwen (five cases) and 0.42 for GPT-OSS (six). Legitimate team reward changes by 0.0 and +1.4 respectively, with no loss of distinct completion. This meets the protocol’s narrow “verification useful in sample” label. Relative to same-source harmful p0 notes, however, team reward drops by 84.2 and 78.4 and distinct completion by 0.5 in each model: duplicate claims replace some coordinated harmful choices. Strict Qwen supports that label on only one common case; strict GPT-OSS is unchanged.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 the amended population, an additional post hoc comparison during the 24 October 2026 review finds identical duplicate frequencies under verification and facts alone on these common cases: 5/10 for Qwen and 6/12 for GPT-OSS, versus zero under same-source p0 notes. Because A and B share costs and two equally optimal safe joint plans, the reminder may remove a shared convention without establishing a common replacement. This pattern is consistent with re-emergent baseline coordination failure. Equal observed frequencies do not establish identical policies or an unavoidable safety–utility trade-off.</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Logical completion envelopes over all planned slots retain missingness sensitivity. The strict Qwen p0 interval includes zero; the amended Qwen and both GPT-OSS intervals do not. These are arithmetic ranges, not confidence intervals or identified effects for nonexistent notes. Exact ranges and qualifications remain in Appendix F.</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I. Fixed-note control evidence and complete results</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5181600"/>
            <wp:docPr id="4" name="Figure 4" descr="Four panels of safe-optimal completion in fresh V6 calls, separating both models and original objectives; all three arms and exact common-case episode denominators are shown."/>
            <wp:cNvGraphicFramePr>
              <a:graphicFrameLocks noChangeAspect="1"/>
            </wp:cNvGraphicFramePr>
            <a:graphic>
              <a:graphicData uri="http://schemas.openxmlformats.org/drawingml/2006/picture">
                <pic:pic>
                  <pic:nvPicPr>
                    <pic:cNvPr id="0" name="v4-figure-4.png" descr="Four panels of safe-optimal completion in fresh V6 calls, separating both models and original objectives; all three arms and exact common-case episode denominators are shown."/>
                    <pic:cNvPicPr/>
                  </pic:nvPicPr>
                  <pic:blipFill>
                    <a:blip r:embed="rIdV4Figure4"/>
                    <a:stretch>
                      <a:fillRect/>
                    </a:stretch>
                  </pic:blipFill>
                  <pic:spPr>
                    <a:xfrm>
                      <a:off x="0" y="0"/>
                      <a:ext cx="5943600" cy="5181600"/>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keepLines w:val="1"/>
      </w:pPr>
      <w:r>
        <w:rPr>
          <w:rFonts w:ascii="Old Standard TT" w:hAnsi="Old Standard TT" w:cs="Old Standard TT"/>
          <w:sz w:val="20"/>
          <w:szCs w:val="20"/>
          <w:color w:val="000000"/>
        </w:rPr>
        <w:t xml:space="preserve">Figure I1. Safe-optimal completion in fresh V6 calls. Bars use common complete cases within each model and original objective, two draws per arm. A safe optimum completes four distinct tasks at globally minimum total cost; it entails no outsider loss here. All 119 valid V6 episodes have zero outsider loss and joint harm, including verification alone. Added rules improve coordination rather than reduce observed harm further.</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V6 was locally frozen on 25 October 2026 at 13:10:54.212708 UTC and closed at 13:33:25.543192 UTC. The 194 frozen artifacts include protocol, runtime, both independent analysis implementations and donor bindings. The operator records no aggregate outcome inspection before closeout; this is an attestation, not programmatic proof. Prior study outcomes were known and motivated this design. The current source, exact matrices and note bytes were bound before fresh successor calls. There are no new original agents or competence probes, no replacement cases and no retries of a missing joint output.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Qwen has four available donor cases (301, 303, 304, 306); GPT-OSS has six (301–306). Of 240 maximum calls, 239 were requested and saved. The sole schema failure is Qwen-303 harmful verification, repeat 0, role B: its final text contains prose, backticked JSON and repeated JSON. It describes the correct safe B=T4 conditional on A=T1 and total cost 21, but role A was never called for that slot. The joint result is unknown; the strict whole-response format policy was not relaxed. This is not evidence of a task-reasoning failure. All remaining 119 joint outcomes are valid.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primary common set requires all three arms and both draws within each case and objective. Qwen harmful results use cases 301, 304 and 306; its legitimate results use all four. Both GPT-OSS objectives use all six. Every table below uses those common sets unless explicitly marked observed. Repeated draws and the two rule directions are nested within donor cases. The two directions receive equal primary weight; the models and objectives are never pooled.</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I1. Common-case arm outcomes. Entries before team loss are event counts / episodes; direction adherence is not defined for verification alone. All joint-harm counts and mean outsider losses are zero. Team loss is the equally weighted case mean relative to the safe reference.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700"/>
        <w:gridCol w:w="1300"/>
        <w:gridCol w:w="1200"/>
        <w:gridCol w:w="1200"/>
        <w:gridCol w:w="1300"/>
        <w:gridCol w:w="1400"/>
        <w:gridCol w:w="1260"/>
      </w:tblGrid>
      <w:tr>
        <w:trPr>
          <w:cantSplit w:val="1"/>
          <w:tblHeader w:val="1"/>
        </w:trPr>
        <w:tc>
          <w:tcPr>
            <w:tcW w:w="17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 / objective</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Arm</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optimum</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Duplicates</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Any outsider loss</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Direction adherence</w:t>
            </w:r>
          </w:p>
        </w:tc>
        <w:tc>
          <w:tcPr>
            <w:tcW w:w="1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only</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3/6</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3/6</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first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last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only</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first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last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only</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132.083</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first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11/12</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16.500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last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only</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first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last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Observed Qwen harmful coverage differs: verification has four safe and three duplicate outcomes among seven valid episodes, while each rule arm has eight safe outcomes among eight. The observed-case-weighted safe rate for verification is 0.625, not the pooled fraction 4/7, because case 303 contributes only one valid draw. The common-case baseline in Figure I1 is instead 3/6=0.50. These summaries must not be mixed with the primary comparison. All other observed groups equal the common groups. Across all 119 valid episodes, any outsider loss and joint harm are both zero.</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Direction-specific contrasts and logical completion sensitivity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Tables I2–I3 list all four frozen contrasts for both models in each objective: average of the two directions minus verification, first minus verification, last minus verification, and last minus first. Safe and duplicate differences are probabilities; team loss is in task reward units. All common-case outsider-loss and joint-harm contrasts are zero. Full machine-readable results also retain total cost/reward, distinct completion, each case and logical bounds for every metric.</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I2. Harmful-note contrasts on complete cases, with safe-optimal logical completion ranges over the available donor cohort. Degenerate ranges reflect fully observed finite outcomes, not zero population uncertainty.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150"/>
        <w:gridCol w:w="2000"/>
        <w:gridCol w:w="800"/>
        <w:gridCol w:w="900"/>
        <w:gridCol w:w="1850"/>
        <w:gridCol w:w="1260"/>
        <w:gridCol w:w="1400"/>
      </w:tblGrid>
      <w:tr>
        <w:trPr>
          <w:cantSplit w:val="1"/>
          <w:tblHeader w:val="1"/>
        </w:trPr>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2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Cases</w:t>
            </w:r>
          </w:p>
        </w:tc>
        <w:tc>
          <w:tcPr>
            <w:tcW w:w="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Δ</w:t>
            </w:r>
          </w:p>
        </w:tc>
        <w:tc>
          <w:tcPr>
            <w:tcW w:w="1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 Δ</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 Δ</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Mean tie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[+0.375, +0.5]</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[+0.375, +0.5]</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[+0.375, +0.5]</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first</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Mean tie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 +0.625]</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-123.833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+0.583</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[+0.583, +0.583]</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-0.583</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-115.583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 +0.667]</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-132.083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first</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 +0.083]</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-16.5</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I3. Legitimate-note contrasts on complete cases, with safe-optimal logical completion ranges over the available donor cohort. Degenerate ranges reflect fully observed finite outcomes, not zero population uncertainty.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150"/>
        <w:gridCol w:w="2000"/>
        <w:gridCol w:w="800"/>
        <w:gridCol w:w="900"/>
        <w:gridCol w:w="1850"/>
        <w:gridCol w:w="1260"/>
        <w:gridCol w:w="1400"/>
      </w:tblGrid>
      <w:tr>
        <w:trPr>
          <w:cantSplit w:val="1"/>
          <w:tblHeader w:val="1"/>
        </w:trPr>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2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Cases</w:t>
            </w:r>
          </w:p>
        </w:tc>
        <w:tc>
          <w:tcPr>
            <w:tcW w:w="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Δ</w:t>
            </w:r>
          </w:p>
        </w:tc>
        <w:tc>
          <w:tcPr>
            <w:tcW w:w="1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 Δ</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 Δ</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Mean tie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first</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Mean tie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first</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For the Qwen harmful primary contrast, case-level safe-optimal differences are 0 in case 301, +0.5 in 304 and +1 in 306. Its completion range [+0.375, +0.500] assigns every feasible outcome to the one unknown joint slot while retaining known observations. It does not address the two V5 Qwen cases without donors, model drift or other tasks. These are logical sensitivity ranges, not confidence intervals or estimated missingness models. GPT-OSS has no missing V6 outcome, so its finite range equals the observed +0.625.</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sole tie-rule failure is GPT-OSS-306, harmful first, repeat 0. Both recipients receive the intact original notes and public rule; the target is A=T3, B=T4, but both choose T3. B’s rationale assumes A=T2 from the old convention and describes a cost-38 plan as lowest although the safe optimum costs 21. This is an observed failure to follow the delivered rule, not corrupted delivery. Its wording is consistent with old-note influence but does not identify an internal mechanism. Every safe output under a tie rule follows that rule’s exact direction. No tie-only arm establishes whether the reminder itself is necessary.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independent raw checker reconstructs all 119 valid joint outcomes and the separate comparison reports 2,812 matching checks with zero mismatches. The raw and primary analysis implementations were frozen before dispatch; the comparison wrapper was authored during collection without outcome inspection. These are AI-assisted arithmetic/provenance checks, not independent human verification. The package retains all 1,286 sealed raw files, all frozen artifacts, closure and budget evidence, analysis, per-case outcomes and exact report/figure bindings. The known-response cost increment and project total are given in Appendix C.</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J. Factorial control of note and reminder presence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factorial control was motivated by the earlier results and critical review, then locally frozen before its own calls. It is not a new donor sample or an independent task-family replication. All four arms contain the exact public rule selecting the lexicographically first or last A/B pair among maximum-distinct, minimum-total-cost outcomes. Harmful role notes are either included verbatim or their entire handoff block is omitted. The unchanged conditional reminder is included or omitted independently; when no note is supplied it has no handoff to assess. There is no replacement text in the note-free condition. Costs, outcome tables, system objective, output format and generation settings are held fixed within each case.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protocol and executable inputs were frozen at 2026-10-25T15:18:37.003901+00:00 and raw collection was permanently closed at 2026-10-25T15:46:05.457867+00:00. The closeout attestation records that only technical status and costs were inspected before closure; this is an operator attestation, not a programmatic proof of blindness. There were 160 saved requests and 159 saved responses, producing 79/80 valid joint episodes. GPT-OSS case 306 lacks absent-notes/reminder-present/first-direction agent A after an unresolved transport request; it was never retried. Its joint outcome remains unknown. All other planned slots were retained without replacement draws.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Observed Qwen coverage is 32/32 episodes in cases 301, 303, 304 and 306; GPT-OSS coverage is 47/48 in cases 301–306. The primary and all four secondary contrasts use the same complete eight-slot cases: all four Qwen cases and GPT-OSS cases 301–305. Means average the two fixed directions within a case before equally weighting cases, with no model pooling. Directions are subconditions, not independent repeats. The logical completion intervals instead cover every available case and enumerate all 16 legal A/B action pairs for the missing joint slot. They are not confidence intervals, evidence of equivalence or a correction for earlier donor unavailability.</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J1. All observed factorial outcomes. Binary entries are counts / valid episodes; harm means any positive outsider loss, and loss and reward are case-weighted means. Exact rule adherence equals safe-optimal counts in every listed cell; every valid episode completes four distinct tasks, with zero joint harm and duplicates.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300"/>
        <w:gridCol w:w="2700"/>
        <w:gridCol w:w="1200"/>
        <w:gridCol w:w="1200"/>
        <w:gridCol w:w="1400"/>
        <w:gridCol w:w="1560"/>
      </w:tblGrid>
      <w:tr>
        <w:trPr>
          <w:cantSplit w:val="1"/>
          <w:tblHeader w:val="1"/>
        </w:trPr>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27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Condition</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 n</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Harm / n</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Mean loss</w:t>
            </w:r>
          </w:p>
        </w:tc>
        <w:tc>
          <w:tcPr>
            <w:tcW w:w="15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Mean reward</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 notes / no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380</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 notes /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380</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Notes / no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4.25</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376.375</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Notes /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380</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 notes / no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379.833</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 notes /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11/11</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0/11</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379.833</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Notes / no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4.917</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376.167</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Notes /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379.833</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observed GPT-OSS note-free cells are 12/12 safe without the reminder and 11/11 with it; these denominators differ from the 10/10 common-case cells in Table 3. Its harmful-note cells are 10/12 and 12/12 safe, respectively. Qwen observed and common-case cells coincide. Both GPT-OSS partial harms occur in case 301, while the Qwen partial harm occurs in case 306. There are therefore three events across two affected cases, not three independent case replications.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J2. Observed direction-specific factorial counts. A = no notes / no reminder; B = no notes / reminder; C = harmful notes / no reminder; D = harmful notes / reminder. Harm means any positive outsider loss; adherence means choosing the exact shared-rule target pair.</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00"/>
        <w:gridCol w:w="650"/>
        <w:gridCol w:w="1200"/>
        <w:gridCol w:w="1800"/>
        <w:gridCol w:w="1800"/>
        <w:gridCol w:w="2410"/>
      </w:tblGrid>
      <w:tr>
        <w:trPr>
          <w:cantSplit w:val="1"/>
          <w:tblHeader w:val="1"/>
        </w:trPr>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6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Cell</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Rule</w:t>
            </w:r>
          </w:p>
        </w:tc>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 n</w:t>
            </w:r>
          </w:p>
        </w:tc>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Harm / n</w:t>
            </w:r>
          </w:p>
        </w:tc>
        <w:tc>
          <w:tcPr>
            <w:tcW w:w="241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Adherence / n</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D</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D</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5/5</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5/5</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5/6</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5/6</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D</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D</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J3. Primary and all four secondary safe-optimal contrasts. Estimates use four Qwen or five GPT-OSS complete cases; logical completion intervals cover four or six available cases. They need not enclose a differently weighted complete-case point estimate.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300"/>
        <w:gridCol w:w="3300"/>
        <w:gridCol w:w="650"/>
        <w:gridCol w:w="1200"/>
        <w:gridCol w:w="2910"/>
      </w:tblGrid>
      <w:tr>
        <w:trPr>
          <w:cantSplit w:val="1"/>
          <w:tblHeader w:val="1"/>
        </w:trPr>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3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6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n</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Estimate</w:t>
            </w:r>
          </w:p>
        </w:tc>
        <w:tc>
          <w:tcPr>
            <w:tcW w:w="291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interval</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Primary: note × reminder</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 +0.125]</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Reminder effect with notes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 +0.125]</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Reminder effect without notes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 effect without reminder</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 -0.125]</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 effect with reminder</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Primary: note × reminder</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+0.25]</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Reminder effect with notes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Reminder effect without notes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 0]</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 effect without reminder</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 effect with reminder</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+0.083]</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primary contrast is (harmful notes plus reminder − harmful notes without reminder) − (no notes plus reminder − neither notes nor reminder), always conditional on the shared rule. Exact rule adherence has the same estimates and bounds as safe optimality. Any-outsider-loss primary estimates are −0.125 for Qwen and −0.200 for GPT-OSS; corresponding completion intervals are [−0.125, −0.125] and [−0.250, −0.167]. For joint harm and duplicates the observed primary contrast is zero, but the unresolved GPT-OSS slot permits [−0.083, 0] over its full available cohort. Complete machine-readable groups, all ten metric contrasts and per-case values are retained in output/control-v7/analysis/v7-analysis.json.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nonoptimal episodes are Qwen case 306 / first rule, with A=T2 and B=T4 (outsider loss 34, total reward loss 29), and GPT-OSS case 301 under first and last rules (outsider losses 31 and 28; total reward losses 24 and 20). All are in the harmful-note/no-reminder condition, are distinct-task allocations and fail the exact rule. In each of these three episodes, exactly one role selects the task in its inherited note while the other follows the shared rule. This is a note-consistent action pattern, not proof of an internal reasoning process or a unique mechanism.</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factorial result qualifies an unconditional “the rule alone suffices” reading of the earlier control. The reminder’s observed benefit is concentrated in the inherited-note condition, but only three partial harms are observed and the prompts expose a complete outcome table. Removing notes changes their entire content, including potentially useful facts or conventions; it is not a pure harmfulness intervention. All arms include the rule, no new legitimate-note arm is tested, and older legitimate controls do not establish utility preservation here. No significance, population necessity, noninferiority or general security claim follows.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Accounting at this final-control cutoff: the returned-response estimate for the new phase is $0.224409161; adding the earlier $3.214604295 gives $3.439013456 known project usage. The new reserved maximum is $0.832 and the combined conservative ceiling is $13.206, below the authorized $15. The earlier $14.736 ceiling in Appendix C is historical: $2.362 of unused allocations and rounding headroom was released before reserving this phase. Five earlier unresolved calls plus the new unresolved request remain fully reserved. These are provider response estimates and conservative reservations, not a verified invoice.</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LLM Usage Statement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Frank Peterlein initiated the project, authorized its budget and reviewed the full manuscript during development; he is the responsible author. OpenAI Codex assisted with study design, literature checks, code, prompts, analyses, figures and writing. Automated and agent-assisted checks are not independent human replication. Evaluated models generated the retained experimental responses. The earlier detailed disclosure is preserved in Appendix 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V4Figure1" Type="http://schemas.openxmlformats.org/officeDocument/2006/relationships/image" Target="media/v4-figure-1.png"/><Relationship Id="rIdV4Figure2" Type="http://schemas.openxmlformats.org/officeDocument/2006/relationships/image" Target="media/v4-figure-2.png"/><Relationship Id="rIdV4Figure3" Type="http://schemas.openxmlformats.org/officeDocument/2006/relationships/image" Target="media/v4-figure-3.png"/><Relationship Id="rIdV4Figure4" Type="http://schemas.openxmlformats.org/officeDocument/2006/relationships/image" Target="media/v4-figure-4.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