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pPr>
              <w:spacing w:after="200" w:line="240" w:lineRule="auto"/>
              <w:rPr>
                <w:rFonts w:ascii="Old Standard TT" w:cs="Old Standard TT" w:eastAsia="Old Standard TT" w:hAnsi="Old Standard TT"/>
                <w:sz w:val="20"/>
                <w:szCs w:val="20"/>
              </w:rPr>
            </w:pPr>
            <w:r>
              <w:rPr>
                <w:rtl w:val="0"/>
              </w:rPr>
            </w:r>
          </w:p>
          <w:p w:rsidR="00000000" w:rsidDel="00000000" w:rsidP="00000000" w:rsidRDefault="00000000" w:rsidRPr="00000000">
            <w:pPr>
              <w:pStyle w:val="Title"/>
              <w:spacing w:after="200" w:line="240" w:lineRule="auto"/>
              <w:jc w:val="center"/>
              <w:rPr>
                <w:rFonts w:ascii="Old Standard TT" w:cs="Old Standard TT" w:eastAsia="Old Standard TT" w:hAnsi="Old Standard TT"/>
                <w:b w:val="1"/>
                <w:bCs w:val="1"/>
                <w:color w:val="000000"/>
                <w:sz w:val="40"/>
                <w:szCs w:val="40"/>
              </w:rPr>
            </w:pPr>
            <w:r>
              <w:rPr>
                <w:rFonts w:ascii="Old Standard TT" w:hAnsi="Old Standard TT" w:cs="Old Standard TT"/>
                <w:b w:val="1"/>
                <w:sz w:val="40"/>
                <w:szCs w:val="40"/>
                <w:color w:val="000000"/>
              </w:rPr>
              <w:t xml:space="preserve">HARMFUL AGENT HANDOFFS AND SAFE COORDINATION</w:t>
            </w:r>
            <w:r>
              <w:rPr>
                <w:rFonts w:ascii="Old Standard TT" w:cs="Old Standard TT" w:eastAsia="Old Standard TT" w:hAnsi="Old Standard TT"/>
                <w:b w:val="1"/>
                <w:bCs w:val="1"/>
                <w:sz w:val="40"/>
                <w:szCs w:val="40"/>
                <w:vertAlign w:val="superscript"/>
              </w:rPr>
              <w:footnoteReference w:customMarkFollows="0" w:id="0"/>
            </w:r>
          </w:p>
          <w:p w:rsidR="00000000" w:rsidDel="00000000" w:rsidP="00000000" w:rsidRDefault="00000000" w:rsidRPr="00000000">
            <w:pPr>
              <w:spacing w:after="200" w:line="240" w:lineRule="auto"/>
              <w:jc w:val="both"/>
              <w:rPr>
                <w:rFonts w:ascii="Old Standard TT" w:cs="Old Standard TT" w:eastAsia="Old Standard TT" w:hAnsi="Old Standard TT"/>
                <w:sz w:val="20"/>
                <w:szCs w:val="20"/>
              </w:rPr>
            </w:pPr>
            <w:r>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pPr>
              <w:spacing w:after="200" w:line="240" w:lineRule="auto"/>
              <w:rPr>
                <w:rFonts w:ascii="Old Standard TT" w:cs="Old Standard TT" w:eastAsia="Old Standard TT" w:hAnsi="Old Standard TT"/>
                <w:sz w:val="2"/>
                <w:szCs w:val="2"/>
              </w:rPr>
            </w:pPr>
            <w:r>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pPr>
                    <w:spacing w:after="200" w:line="240" w:lineRule="auto"/>
                    <w:rPr>
                      <w:rFonts w:ascii="Old Standard TT" w:cs="Old Standard TT" w:eastAsia="Old Standard TT" w:hAnsi="Old Standard TT"/>
                      <w:sz w:val="2"/>
                      <w:szCs w:val="2"/>
                    </w:rPr>
                  </w:pPr>
                  <w:r>
                    <w:rPr>
                      <w:rtl w:val="0"/>
                    </w:rPr>
                  </w:r>
                </w:p>
                <w:tbl>
                  <w:tblPr>
                    <w:tblStyle w:val="Table3"/>
                    <w:tblW w:w="718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85"/>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W w:w="7185" w:type="dxa"/>
                      </w:tcPr>
                      <w:p w:rsidR="00000000" w:rsidDel="00000000" w:rsidP="00000000" w:rsidRDefault="00000000" w:rsidRPr="00000000">
                        <w:pPr>
                          <w:spacing w:after="200" w:line="240" w:lineRule="auto"/>
                          <w:jc w:val="center"/>
                          <w:rPr>
                            <w:rFonts w:ascii="Old Standard TT" w:cs="Old Standard TT" w:eastAsia="Old Standard TT" w:hAnsi="Old Standard TT"/>
                          </w:rPr>
                        </w:pPr>
                        <w:r>
                          <w:rPr>
                            <w:rFonts w:ascii="Old Standard TT" w:hAnsi="Old Standard TT" w:cs="Old Standard TT"/>
                            <w:color w:val="000000"/>
                          </w:rPr>
                          <w:t xml:space="preserve">Frank Peterlein</w:t>
                          <w:br/>
                          <w:t xml:space="preserve">Independent researcher</w:t>
                        </w:r>
                      </w:p>
                      <w:p w:rsidR="00000000" w:rsidDel="00000000" w:rsidP="00000000" w:rsidRDefault="00000000" w:rsidRPr="00000000">
                        <w:pPr>
                          <w:spacing w:after="200" w:line="240" w:lineRule="auto"/>
                          <w:jc w:val="center"/>
                          <w:rPr>
                            <w:rFonts w:ascii="Old Standard TT" w:cs="Old Standard TT" w:eastAsia="Old Standard TT" w:hAnsi="Old Standard TT"/>
                          </w:rPr>
                        </w:pPr>
                        <w:r>
                          <w:rPr>
                            <w:rFonts w:ascii="Old Standard TT" w:hAnsi="Old Standard TT" w:cs="Old Standard TT"/>
                            <w:sz w:val="22"/>
                            <w:szCs w:val="22"/>
                            <w:color w:val="000000"/>
                          </w:rPr>
                          <w:t xml:space="preserve">A Controlled Study of Transfer and Verification</w:t>
                        </w:r>
                      </w:p>
                    </w:tc>
                  </w:tr>
                </w:tbl>
                <w:p w:rsidR="00000000" w:rsidDel="00000000" w:rsidP="00000000" w:rsidRDefault="00000000" w:rsidRPr="00000000">
                  <w:pPr>
                    <w:spacing w:after="200" w:line="240" w:lineRule="auto"/>
                    <w:jc w:val="center"/>
                    <w:rPr>
                      <w:rFonts w:ascii="Old Standard TT" w:cs="Old Standard TT" w:eastAsia="Old Standard TT" w:hAnsi="Old Standard TT"/>
                      <w:i w:val="1"/>
                      <w:iCs w:val="1"/>
                    </w:rPr>
                  </w:pPr>
                  <w:r>
                    <w:rPr>
                      <w:rFonts w:ascii="Old Standard TT" w:cs="Old Standard TT" w:eastAsia="Old Standard TT" w:hAnsi="Old Standard TT"/>
                      <w:b w:val="1"/>
                      <w:bCs w:val="1"/>
                      <w:rtl w:val="0"/>
                    </w:rPr>
                    <w:t xml:space="preserve">With</w:t>
                    <w:br w:type="textWrapping"/>
                  </w:r>
                  <w:r>
                    <w:rPr>
                      <w:rFonts w:ascii="Old Standard TT" w:cs="Old Standard TT" w:eastAsia="Old Standard TT" w:hAnsi="Old Standard TT"/>
                      <w:rtl w:val="0"/>
                    </w:rPr>
                    <w:t xml:space="preserve">Apart Research</w:t>
                  </w:r>
                  <w:r>
                    <w:rPr>
                      <w:rtl w:val="0"/>
                    </w:rPr>
                  </w:r>
                </w:p>
              </w:tc>
            </w:tr>
          </w:tbl>
          <w:p w:rsidR="00000000" w:rsidDel="00000000" w:rsidP="00000000" w:rsidRDefault="00000000" w:rsidRPr="00000000">
            <w:pPr>
              <w:spacing w:after="200" w:before="240" w:line="240" w:lineRule="auto"/>
              <w:jc w:val="center"/>
              <w:rPr>
                <w:rFonts w:ascii="Old Standard TT" w:cs="Old Standard TT" w:eastAsia="Old Standard TT" w:hAnsi="Old Standard TT"/>
                <w:b w:val="1"/>
                <w:bCs w:val="1"/>
                <w:sz w:val="28"/>
                <w:szCs w:val="28"/>
              </w:rPr>
            </w:pPr>
            <w:r>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pPr>
                    <w:spacing w:after="200" w:line="240" w:lineRule="auto"/>
                    <w:ind w:left="540" w:right="45" w:firstLine="0"/>
                    <w:jc w:val="both"/>
                    <w:rPr>
                      <w:rFonts w:ascii="Old Standard TT" w:cs="Old Standard TT" w:eastAsia="Old Standard TT" w:hAnsi="Old Standard TT"/>
                    </w:rPr>
                  </w:pPr>
                  <w:r>
                    <w:rPr>
                      <w:rFonts w:ascii="Old Standard TT" w:hAnsi="Old Standard TT" w:cs="Old Standard TT"/>
                      <w:color w:val="000000"/>
                    </w:rPr>
                    <w:t>Can harmful plans survive agent replacement through handoff notes, and can successors reject them while coordinating? In a transparent four-agent allocation task, original agents are instructed to favor their coalition at outsiders’ expense and write notes to neutral successors. Harmful notes raise the probability of a jointly harmful allocation by 0.50 for Qwen3.6-35B-A3B and 0.43 for GPT-OSS-120B relative to facts alone (five and seven complete cases). A reminder to check notes against the public objective removes joint harm, but in a post-hoc comparison duplicate task claims return to the facts-only rate, consistent with losing the shared convention the notes carried. A public tie-breaking rule restores coordination. In a final factorial control that always includes the rule, every note-free episode is safe-optimal; with harmful notes and no reminder, three of 18 episodes leave partial outsider harm, and none with the reminder. Small, selected donor cohorts limit generalization; no spontaneous collusion is claimed.</w:t>
                  </w:r>
                </w:p>
              </w:tc>
            </w:tr>
          </w:tbl>
          <w:p w:rsidR="00000000" w:rsidDel="00000000" w:rsidP="00000000" w:rsidRDefault="00000000" w:rsidRPr="00000000">
            <w:pPr>
              <w:spacing w:after="200" w:line="240" w:lineRule="auto"/>
              <w:rPr>
                <w:rFonts w:ascii="Old Standard TT" w:cs="Old Standard TT" w:eastAsia="Old Standard TT" w:hAnsi="Old Standard TT"/>
                <w:b w:val="1"/>
                <w:bCs w:val="1"/>
                <w:sz w:val="12"/>
                <w:szCs w:val="12"/>
              </w:rPr>
            </w:pPr>
            <w:r>
              <w:rPr>
                <w:rtl w:val="0"/>
              </w:rPr>
            </w:r>
          </w:p>
        </w:tc>
      </w:tr>
    </w:tbl>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1. Introduction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Agent replacement does not remove the information left by the outgoing agents. Handoff notes can preserve useful conventions, but they can also carry recommendations that benefit a coalition at other participants’ expense. The Inherited Collusion project asks whether such instructed harmful plans affect neutral successors, and whether verification can prevent harm without disrupting task coordination.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distinction matters because rejecting a harmful recommendation does not itself select a common safe alternative. We first vary which original notes reach two independent successors. Three follow-up controls then investigate task structure, shared safe rules and the separate effects of notes and verification. The contribution is a bounded empirical audit of this handoff channel: enacted harm, task completion and coordination quality are measured separately.</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2. Related Work</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Colosseum distinguishes expressed collusive plans from enacted coalition-favoring behavior [1,4]. Self-Propagating Misalignment studies harmful goals passed to neutral successors and discusses utility costs of memory defenses [2]. Salami Attack studies jointly effective memory fragments [3]. Building on this work, we control delivery of role-specific notes written after enacted harmful or legitimate allocations, then measure coalition benefit, outsider harm and task coordination separately.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Shared conventions and symmetry breaking are established coordination approaches. Theory of Scene addresses collisions among homogeneous concurrent agents using public roles and shared task context [5]. Tacit Coordination of Large Language Models studies focal points and coordination without communication [6]. Our focused question is how these ideas behave in the presence of harmful inherited notes. The three follow-up controls distinguish task structure, an explicit public safe decision policy and the note-by-reminder interaction under that policy; earlier legitimate-source comparisons assess useful cooperation.</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3. Methods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Two model agents, A and B, independently choose one of four tasks without seeing each other’s choice. Scripted outsiders C and D then minimize their combined cost on two distinct unclaimed tasks. Every agent earns 100 minus its task cost; an extra duplicate claim incurs a 200-point penalty shared by claimants. Neutral successors are instructed to maximize distinct task completion and then minimize total cost across all four agents. They receive the full public cost matrix and all 16 possible A/B outcomes, including the scripted continuation.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Here operational collusion means an enacted joint allocation that benefits A/B while reducing C/D reward relative to the cooperative reference. A joint-harm event requires both outsider specialties to be taken with positive coalition gain and outsider loss. Original agents are explicitly instructed to execute harmful or legitimate joint plans before writing role-specific notes to their replacements. This induces the original coalition; it does not establish spontaneous collusion. Successors receive neutral instructions and unchanged public facts. We also score continuous outsider loss, team reward, duplicate claims and safe-optimal completion. A safe optimum completes four distinct tasks at globally minimum total cost; zero joint harm alone can conceal partial outsider harm.</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handoff audit plans eight cost cases per model and two successor draws per route. Routes deliver facts alone, one note, both notes from the same original branch, crossed branches, or both notes plus a reminder to check them against public rules and total cost. Two role-swapped original-plan orientations (p0 and p1) and legitimate-source controls test convention transfer. Each model supplies its own originals and successors, so differences between models combine sender and recipient behavior. All main studies use Qwen3.6-35B-A3B and GPT-OSS-120B at temperature 0.6, top-p 0.95 and an 8,192-token output limit; exact identifiers and provenance limits are in Appendix B.</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original strict audit retains 360/512 planned episodes. A disclosed post-start format amendment accepts one complete outer JSON fence and recovers 439/512 episodes by reusing exact old responses and calling only previously undispatched slots. Four unresolved requests remain missing. We report both populations separately; the amended analysis is not an independent replication. Later controls were locally frozen before their own responses, after the earlier findings were known. Internal version names, dates, eligibility rules and all missingness are mapped in Appendices B and H.</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structural control plans six new cases per model, two draws per condition, both original objectives and three routes: facts alone, both original notes and verified notes. Adding one unit to two nonpreferred safe A/B cost cells creates a unique safe optimum while preserving optimal total cost and assigned original-plan outcomes. Public outcome tables are recomputed and originals write fresh notes for each structure. Four Qwen cases and all six GPT-OSS cases complete this control; one technically valid but semantically incorrect Qwen diagnostic remains included. The intervention therefore changes both cost geometry and the notes produced.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fixed-note control instead holds the symmetric matrices and exact notes from those ten available donor cases fixed. Fresh successors receive verification alone or verification plus a shared rule: choose the lexicographically first or last A/B task pair among public outcomes with maximum distinct completion and minimum total cost. Both original objectives and two draws per arm are retained. Its primary harmful-mode contrast averages the two directions equally, subtracts fresh verification alone and weights complete cases equally within each model. The directions are fixed subconditions, not independent replications. Logical completion ranges cover missing outcomes in the available cohort; they are not confidence intervals or corrections for donor selection.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final factorial control reuses the same ten symmetric donor cases with entirely fresh successors. Harmful notes are either supplied or omitted, crossed with the unchanged verification reminder being present or absent. Every arm contains the shared safe rule, tested once in each fixed direction. The primary safe-optimal contrast is the reminder effect with notes minus its effect without notes, averaging directions within each case and weighting the same complete cases equally within each model. There are no new originals, diagnostic probes or legitimate-note arms.</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4. Results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Inherited harmful-plan transfer. In the format-expanded audit, both same-source notes from orientation p0 increase joint-harm probability relative to facts alone by 0.50 for Qwen across five complete cases and 0.43 for GPT-OSS across seven. The strict counterparts are 0.50 over only one case and 0.43 over seven. These are within-case delivery contrasts, not population estimates. One-note and crossed-source arms have no observed joint-harm events, although continuous outsider loss remains. Amended Qwen passes the planned legitimate-convention criterion; GPT-OSS does not. Source matching therefore does not guarantee faithful note content or general useful cooperation (Appendix H).</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Verification and coordination. On the distinct common set complete for verification comparisons in both original objectives—five Qwen cases and six GPT-OSS cases—the reminder reduces joint-harm probability by 0.50 and 0.42. Relative to coordinated harmful notes, mean team reward falls by 84.2 and 78.4, and duplicate frequency rises from zero to one half. Continuous outsider loss falls from 25.0 to 1.8 for Qwen and from 28.9 to zero for GPT-OSS. The remaining Qwen loss shows why joint harm cannot serve as the sole safety criterion.</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715000" cy="3944815"/>
            <wp:docPr id="1" name="Figure 1" descr="Joint harmful allocations and duplicate task claims for facts alone, both inherited harmful notes and the same notes plus verification, by model."/>
            <wp:cNvGraphicFramePr>
              <a:graphicFrameLocks noChangeAspect="1"/>
            </wp:cNvGraphicFramePr>
            <a:graphic>
              <a:graphicData uri="http://schemas.openxmlformats.org/drawingml/2006/picture">
                <pic:pic>
                  <pic:nvPicPr>
                    <pic:cNvPr id="0" name="v4-figure-1.png" descr="Joint harmful allocations and duplicate task claims for facts alone, both inherited harmful notes and the same notes plus verification, by model."/>
                    <pic:cNvPicPr/>
                  </pic:nvPicPr>
                  <pic:blipFill>
                    <a:blip r:embed="rIdV4Figure1"/>
                    <a:stretch>
                      <a:fillRect/>
                    </a:stretch>
                  </pic:blipFill>
                  <pic:spPr>
                    <a:xfrm>
                      <a:off x="0" y="0"/>
                      <a:ext cx="5715000" cy="3944815"/>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keepLines w:val="1"/>
      </w:pPr>
      <w:r>
        <w:rPr>
          <w:rFonts w:ascii="Old Standard TT" w:hAnsi="Old Standard TT" w:cs="Old Standard TT"/>
          <w:sz w:val="20"/>
          <w:szCs w:val="20"/>
          <w:color w:val="000000"/>
        </w:rPr>
        <w:t xml:space="preserve">Figure 1. Post-hoc common-case diagnostic of the format-expanded audit: five Qwen cases and six GPT-OSS cases, two draws per arm. Verification eliminates joint-harm events in this subset; duplicate counts match facts alone. The prespecified transfer contrast uses seven GPT-OSS cases. Joint-harm absence can mask partial outsider loss.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 that post-hoc comparison, verified and facts-only routes have identical duplicate counts: 5/10 for Qwen and 6/12 for GPT-OSS (Figure 1). Both roles have identical costs and two safe optima. This pattern is consistent with discarding a shared convention without selecting a common replacement. It does not establish that mechanism, nor an unavoidable safety–utility trade-off. Relative to facts alone, verified team reward differs by only −1.6 for Qwen and −1.0 for GPT-OSS on these same cases; the large loss above is relative to the coordinated harmful-note condition.</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1. Structural control: harmful-note verification on complete cases. Binary entries are episode counts; outsider loss is a mean. Qwen has four complete cases and GPT-OSS six, with two draws per cell.</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150"/>
        <w:gridCol w:w="1600"/>
        <w:gridCol w:w="1500"/>
        <w:gridCol w:w="1700"/>
        <w:gridCol w:w="1500"/>
        <w:gridCol w:w="1910"/>
      </w:tblGrid>
      <w:tr>
        <w:trPr>
          <w:cantSplit w:val="1"/>
          <w:tblHeader w:val="1"/>
        </w:trPr>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Model</w:t>
            </w:r>
          </w:p>
        </w:tc>
        <w:tc>
          <w:tcPr>
            <w:tcW w:w="16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Structure</w:t>
            </w:r>
          </w:p>
        </w:tc>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Duplicates</w:t>
            </w:r>
          </w:p>
        </w:tc>
        <w:tc>
          <w:tcPr>
            <w:tcW w:w="17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Safe optimum</w:t>
            </w:r>
          </w:p>
        </w:tc>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Joint harm</w:t>
            </w:r>
          </w:p>
        </w:tc>
        <w:tc>
          <w:tcPr>
            <w:tcW w:w="191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Outsider loss</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Symmetric</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5/8</w:t>
            </w:r>
          </w:p>
        </w:tc>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3/8</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0/8</w:t>
            </w:r>
          </w:p>
        </w:tc>
        <w:tc>
          <w:tcPr>
            <w:tcW w:w="1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Unique</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0/8</w:t>
            </w:r>
          </w:p>
        </w:tc>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4/8</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0/8</w:t>
            </w:r>
          </w:p>
        </w:tc>
        <w:tc>
          <w:tcPr>
            <w:tcW w:w="1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Symmetric</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10/12</w:t>
            </w:r>
          </w:p>
        </w:tc>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1/12</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0/12</w:t>
            </w:r>
          </w:p>
        </w:tc>
        <w:tc>
          <w:tcPr>
            <w:tcW w:w="1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Task structure and coordination. Under uniqueness, verified duplicates fall to zero in both models. GPT-OSS reaches the safe optimum in 12/12 episodes; Qwen reaches it in 4/8 and still harms an outsider in the remaining four. The primary duplication interaction—verified minus matched, under uniqueness minus symmetry—is −0.625 for Qwen and −0.750 for GPT-OSS. The six-case logical completion ranges are [−1.083, +0.250] and [−0.750, −0.750]. Harmful matched notes still yield joint harm under uniqueness in 5/8 Qwen and 6/12 GPT-OSS episodes. Uniqueness is therefore neither sufficient protection from inherited plans nor a clean test of successor behavior, because donor notes also change.</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2. Fixed-note control: mean safe-optimal effect of the two added shared-rule directions minus fresh verification alone. Each case has two draws per arm. Completion ranges cover the available donor cohort.</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500"/>
        <w:gridCol w:w="1750"/>
        <w:gridCol w:w="2850"/>
        <w:gridCol w:w="3260"/>
      </w:tblGrid>
      <w:tr>
        <w:trPr>
          <w:cantSplit w:val="1"/>
          <w:tblHeader w:val="1"/>
        </w:trPr>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Model</w:t>
            </w:r>
          </w:p>
        </w:tc>
        <w:tc>
          <w:tcPr>
            <w:tcW w:w="17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Complete cases</w:t>
            </w:r>
          </w:p>
        </w:tc>
        <w:tc>
          <w:tcPr>
            <w:tcW w:w="2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Safe-optimal difference</w:t>
            </w:r>
          </w:p>
        </w:tc>
        <w:tc>
          <w:tcPr>
            <w:tcW w:w="32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Completion range</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3</w:t>
            </w:r>
          </w:p>
        </w:tc>
        <w:tc>
          <w:tcPr>
            <w:tcW w:w="2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+0.5</w:t>
            </w:r>
          </w:p>
        </w:tc>
        <w:tc>
          <w:tcPr>
            <w:tcW w:w="3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[+0.375, +0.5]</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2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3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 +0.625]</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 shared safe policy helps with fixed notes. This control retains 119/120 episodes. Its harmful-mode common set contains three Qwen cases and six GPT-OSS cases: verification alone is safe-optimal in 3/6 and 4/12 episodes, first-direction rules in 6/6 and 11/12, and last-direction rules in 6/6 and 12/12. The primary differences are +0.50 and +0.625 (Table 2); the Qwen completion range is [+0.375, +0.500] over four available cases. Every one of the 119 valid outputs, including verification alone, has zero outsider loss and joint harm. The added rule improves coordination here, not observed harm reduction.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With legitimate notes, Qwen is safe-optimal in 8/8 episodes per arm; GPT-OSS improves from 10/12 with verification alone to 12/12 under each rule. Both meet the frozen observed nondecline criterion. The one GPT-OSS rule failure is a duplicate claim despite intact delivery. Full counts, direction-specific effects and the unchanged original figure are in Appendix I.</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3. Fresh factorial control, common complete cases only. Every arm contains the shared safe rule. Four Qwen cases and five GPT-OSS cases contribute one first-direction and one last-direction observation each. Harm means any positive outsider loss.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400"/>
        <w:gridCol w:w="1200"/>
        <w:gridCol w:w="1690"/>
        <w:gridCol w:w="1690"/>
        <w:gridCol w:w="1690"/>
        <w:gridCol w:w="1690"/>
      </w:tblGrid>
      <w:tr>
        <w:trPr>
          <w:cantSplit w:val="1"/>
          <w:tblHeader w:val="1"/>
        </w:trPr>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Notes</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Reminder</w:t>
            </w:r>
          </w:p>
        </w:tc>
        <w:tc>
          <w:tcPr>
            <w:tcW w:w="169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Qwen safe</w:t>
            </w:r>
          </w:p>
        </w:tc>
        <w:tc>
          <w:tcPr>
            <w:tcW w:w="169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Qwen harm</w:t>
            </w:r>
          </w:p>
        </w:tc>
        <w:tc>
          <w:tcPr>
            <w:tcW w:w="169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GPT safe</w:t>
            </w:r>
          </w:p>
        </w:tc>
        <w:tc>
          <w:tcPr>
            <w:tcW w:w="169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GPT harm</w:t>
            </w:r>
          </w:p>
        </w:tc>
      </w:tr>
      <w:tr>
        <w:trPr>
          <w:cantSplit w:val="1"/>
        </w:trPr>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Absent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No</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10/10</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0/10</w:t>
            </w:r>
          </w:p>
        </w:tc>
      </w:tr>
      <w:tr>
        <w:trPr>
          <w:cantSplit w:val="1"/>
        </w:trPr>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Absent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Yes</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10/10</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0/10</w:t>
            </w:r>
          </w:p>
        </w:tc>
      </w:tr>
      <w:tr>
        <w:trPr>
          <w:cantSplit w:val="1"/>
        </w:trPr>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Harmful</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No</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7/8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8/10</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2/10</w:t>
            </w:r>
          </w:p>
        </w:tc>
      </w:tr>
      <w:tr>
        <w:trPr>
          <w:cantSplit w:val="1"/>
        </w:trPr>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Harmful</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Yes</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10/10</w:t>
            </w:r>
          </w:p>
        </w:tc>
        <w:tc>
          <w:tcPr>
            <w:tcW w:w="169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Notes and verification under a shared rule. The control retains 79/80 episodes, with one unresolved request. On the complete cases in Table 3, notes without the reminder produce one partial outsider harm for Qwen and two for GPT-OSS; all other cells are safe-optimal. The primary note-by-reminder interaction is +0.125 and +0.200. Logical completion ranges over all four and six available cases are [+0.125, +0.125] and [+0.167, +0.250], respectively; the latter covers a different cohort from the five-case point estimate. All 79 valid episodes have zero joint harm and zero duplicates. The three failures are nonoptimal allocations with partial outsider loss, demonstrating again why joint harm alone is insufficient (Appendix J).</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5. Discussion and Limitations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evidence supports harmful instructed-plan transfer and conditional remedies. Verification reduces that transfer while leaving coordination failures in some successor pairs. A shared safe policy improves coordination, but the factorial control qualifies any claim that the rule alone suffices: three partial harms occur with inherited notes and no reminder. No such failures occur with the reminder on the matched cases. This is consistent with competition between note content and the safe policy; it does not identify internal verification, prove convention loss is the sole mechanism or establish that verification is generally necessary.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Scope is narrow: a transparent allocation fixture, scripted outsiders, full outcome tables, selected donor availability and few within-case observations. The handoff audit has substantial potentially informative attrition and a post-start parser amendment; later designs were motivated by observed results. Model-specific notes mix sender and receiver behavior, and their errors remain part of the primary channel. The final factorial comparison adds note-free and reminder-free controls, but every arm still contains the shared rule and no new legitimate-note arm is included. Removing notes removes their full content, not just harmful recommendations. Its positive interaction rests on three failures across two cases; no significance or equivalence claim is made.</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6. Conclusion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 this task, inherited notes carried instructed harmful allocations into neutral successors. Verification reduced harm but could disrupt coordination relative to coordinated harmful notes. Task structure and a shared safe rule improved coordination; the final factorial control additionally found partial harm under that rule only when harmful notes were present and the reminder absent. The useful result is therefore a conditional combination: check inherited recommendations and provide a common safe decision policy. Handoff defenses should be evaluated on outsider harm and successful safe coordination together, rather than treating the absence of joint harm as a completed cooperative solution.</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Code and Data</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Code, raw model responses, frozen protocols, analyses</w:t>
      </w:r>
      <w:r>
        <w:rPr>
          <w:rFonts w:ascii="Old Standard TT" w:hAnsi="Old Standard TT" w:cs="Old Standard TT"/>
          <w:color w:val="000000"/>
        </w:rPr>
        <w:t xml:space="preserve">, report sources and offline reproduction checks are public at</w:t>
      </w:r>
      <w:r>
        <w:rPr>
          <w:rFonts w:ascii="Old Standard TT" w:hAnsi="Old Standard TT" w:cs="Old Standard TT"/>
          <w:color w:val="000000"/>
        </w:rPr>
        <w:t xml:space="preserve"> https://github.com/frnkptrln/inherited-collusion</w:t>
      </w:r>
      <w:r>
        <w:rPr>
          <w:rFonts w:ascii="Old Standard TT" w:hAnsi="Old Standard TT" w:cs="Old Standard TT"/>
          <w:color w:val="000000"/>
        </w:rPr>
        <w:t xml:space="preserve">; the tag “submitted” marks the submitted version.</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References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[1] Mason Nakamura, Abhinav Kumar, Saswat Das, Sahar Abdelnabi, Saaduddin Mahmud, Ferdinando Fioretto, Shlomo Zilberstein and Eugene Bagdasarian. 2026. Colosseum: Auditing Collusion in Cooperative Multi-Agent Systems. arXiv:2602.15198v2. https://arxiv.org/abs/2602.15198v2</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[2] Debeshee Das, Jacqueline Tay, Bruce Tsai, David Huang and Javier Rando. 2026. Self-Propagating Misalignment in LLM Agents, and Why Auditing or Disabling Memory Is Not Enough. arXiv:2610.04083v1. https://arxiv.org/html/2610.04083v1</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[3] Zheng Lin, Yuzhe Huang, Zhenxing Niu, Xianmin Ye and Haichang Gao. 2026. Salami Attack: Stealthy Collusive Memory Poisoning against OpenClaw. arXiv:2608.01637v1. https://arxiv.org/html/2608.01637v1</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[4] Poseidon Research. Collusion Hackathon starter repository. https://github.com/poseidon-research/collusion_hackathon. The companion package retains the upstream revision and local adaptation.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[5] Liangqi Yuan, Wenzhi Fang, Shiqiang Wang and Christopher G. Brinton. 2026. Theory of Scene: Breaking the Symmetry Trap in Multi-Agent LLM Coordination. arXiv:2609.32939v1. https://arxiv.org/html/2609.32939v1</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[6] Ido Aharon, Emanuele La Malfa, Michael Wooldridge and Sarit Kraus. 2026. Tacit Coordination of Large Language Models. arXiv:2601.22184v2. https://arxiv.org/html/2601.22184v2</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Appendix A. Limitations and Dual-Use / Ethical Considerations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Inference is limited by donor-driven redesign, post-start format amendment, potentially informative attrition, eight original task clusters per model, two nested draws, a full outcome table, scripted outsiders and independent one-shot recipients. Models write different notes; provider weights and reasoning defaults are unverified; semantic reviews are AI-assisted. The audit estimates conditional delivery of the notes actually produced, not unconditional inheritance of a faithfully represented goal. Broader tests should separate sender and recipient models, use blinded human annotation, controlled note edits and additional tasks. The </w:t>
      </w:r>
      <w:r>
        <w:rPr>
          <w:rFonts w:ascii="Old Standard TT" w:hAnsi="Old Standard TT" w:cs="Old Standard TT"/>
          <w:color w:val="000000"/>
        </w:rPr>
        <w:t xml:space="preserve">public repository</w:t>
      </w:r>
      <w:r>
        <w:rPr>
          <w:rFonts w:ascii="Old Standard TT" w:hAnsi="Old Standard TT" w:cs="Old Standard TT"/>
          <w:color w:val="000000"/>
        </w:rPr>
        <w:t xml:space="preserve"> preserves protocols, raw calls, annotations, analyses and source hashes</w:t>
      </w:r>
      <w:r>
        <w:rPr>
          <w:rFonts w:ascii="Old Standard TT" w:hAnsi="Old Standard TT" w:cs="Old Standard TT"/>
          <w:color w:val="000000"/>
        </w:rPr>
        <w:t xml:space="preserve">. The </w:t>
      </w:r>
      <w:r>
        <w:rPr>
          <w:rFonts w:ascii="Old Standard TT" w:hAnsi="Old Standard TT" w:cs="Old Standard TT"/>
          <w:color w:val="000000"/>
        </w:rPr>
        <w:t xml:space="preserve">structural control added six planned clusters per model (four complete for Qwen); </w:t>
      </w:r>
      <w:r>
        <w:rPr>
          <w:rFonts w:ascii="Old Standard TT" w:hAnsi="Old Standard TT" w:cs="Old Standard TT"/>
          <w:color w:val="000000"/>
        </w:rPr>
        <w:t xml:space="preserve">the fixed-note and factorial controls reuse</w:t>
      </w:r>
      <w:r>
        <w:rPr>
          <w:rFonts w:ascii="Old Standard TT" w:hAnsi="Old Standard TT" w:cs="Old Standard TT"/>
          <w:color w:val="000000"/>
        </w:rPr>
        <w:t xml:space="preserve"> those available symmetric donor cases. </w:t>
      </w:r>
      <w:r>
        <w:rPr>
          <w:rFonts w:ascii="Old Standard TT" w:hAnsi="Old Standard TT" w:cs="Old Standard TT"/>
          <w:color w:val="000000"/>
        </w:rPr>
        <w:t xml:space="preserve">None</w:t>
      </w:r>
      <w:r>
        <w:rPr>
          <w:rFonts w:ascii="Old Standard TT" w:hAnsi="Old Standard TT" w:cs="Old Standard TT"/>
          <w:color w:val="000000"/>
        </w:rPr>
        <w:t xml:space="preserve"> is an independent task-family replication.</w:t>
      </w:r>
      <w:r>
        <w:rPr>
          <w:rFonts w:ascii="Old Standard TT" w:hAnsi="Old Standard TT" w:cs="Old Standard TT"/>
          <w:color w:val="000000"/>
        </w:rPr>
        <w:t xml:space="preserve"> The factorial control was designed after the earlier results were known, and its note-by-reminder interaction rests on three partial harms in two cases.</w:t>
      </w:r>
      <w:r>
        <w:rPr>
          <w:rFonts w:ascii="Old Standard TT" w:hAnsi="Old Standard TT" w:cs="Old Standard TT"/>
          <w:color w:val="000000"/>
        </w:rPr>
        <w:t xml:space="preserve"> Diagnostic mistakes remain included. Changing cost geometry changes the task and regenerated notes jointly; model-specific notes prevent a clean capability ranking. No universal claim follows from a unique optimum in these fixtures.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All objectives concern synthetic task allocation among simulated agents. No person or organization loses resources. The experiment does not manipulate an external system, contact targets or deploy agents. Intended safety use is testing unwanted convention transfer and the utility cost of handoff interventions. The same evidence could help design malicious memory payloads; examples therefore remain scoped to transparent toy-task recommendations, without real targets, stolen context, evasion optimization or operational exploitation. Negative and missing results must accompany dissemination.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Joint harm is task-specific: taking both outsider specialties shifts reward from C/D to A/B relative to the cooperative optimum. Partial outsider harm exists when this binary endpoint is zero. Total team reward can nevertheless improve against a collision-prone facts-only baseline; none of these metrics substitutes for the others. Crossed sources also damage legitimate conventions. Supplying an original coalition objective does not demonstrate spontaneous collusion, negotiation or continuing private intent. Matching reported model IDs is a provenance check, not independently verified served weights.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Sender errors and annotation uncertainty limit interpretation. Recipient-assignment flags cover incorrect, missing or ambiguous future instructions, not necessarily role swaps. Derived optimality claims differ from primitive facts; unknown claims fail the strict secondary subset. Its selection on content can bias comparisons. The original V4/V4F actual-task convention checks combine sender and receiver behavior; GPT-OSS fails that criterion despite successful simple probes. Neither model’s results support general robustness, a capability ranking or verified safety of a deployment.</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B. Chronology, preservation and reproducibility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Version mapping for this revision: “strict handoff audit” denotes V4; “format-expanded handoff audit” denotes V4F, a post-start continuation using the original data once; “structural control” denotes V5; “fixed-note control” denotes V6. The fresh factorial control of note and reminder presence is V7. These labels identify successive locally frozen studies and amendments, not independent task-family replications.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Three initial attempts yielded 18 probe responses and no original-agent or successor episodes. Two Qwen-235B Instruct attempts failed the then-current task-choice gate for the agent’s own action. A third requested Qwen-235B Thinking but every response reported a different model identifier, preventing attribution to the requested model; actual served weights remain unknown. V3 then produced 28 calls and no successors: DeepSeek failed a competence check, while a Qwen pilot’s notes failed fidelity review. After a strict review rejected false optimality claims, Amendment 01 allowed separately annotated derived false claims before successors; a later note still directed B to A’s task. These failed protocols and observations are preserved.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V4 analysis plan and execution source were frozen at 17:52:39 UTC on 23 October 2026. The post-start format amendment was recorded at 18:30:29 UTC. Its executable freeze followed strict closeout; full timing is given below. Strict Qwen-206 supplied the correct probe assignment and cost inside a JSON fence. Original response identifiers and format failures were retained without repair in the strict analysis.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V4–V6 requests use Qwen/Qwen3.6-35B-A3B and openai/gpt-oss-120b through Hugging Face Inference Providers with DeepInfra explicitly selected. No reasoning_effort or extra_body was supplied; the provider reasoning default is unspecified. Exact returned model IDs, complete finish and bounded reported usage were required after raw-response storage. These provenance and resource checks do not identify the actual served weights or the provider’s internal reasoning settings.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Strict Qwen had one probe-format stop and six successor-format stops; only one case completed. The amended Qwen record has five complete cases, two unresolved provider calls (201/202) and one retained nonpermitted-format stop (205). GPT-OSS has six complete cases and two unresolved tails (202/204) in both analyses. All four unresolved requests retain HTTP 504 evidence without a saved model response and were never retried. Their prior valid prefixes remain usable. No new GPT-OSS call was made in V4F.</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Across models, V4F reuses 1,079 original requests and adds 170 previously undispatched requests (168 responses). Among inherited responses, six whole JSON fences are admitted and one different format remains invalid; three newly collected responses use the permitted fence. Of 439 valid amended episodes, 362 use only inherited successor calls, 75 only new calls and two mix inherited/new calls. This includes 360 originally valid episodes, two wholly cached format recoveries and 77 episodes requiring new calls. Later collection introduces temporal/provider-drift uncertainty despite unchanged generation settings.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original V4 source hash is c2eb3261a675d530d1c33f61a462f7f04424503dd6721da2023538e79aed09f7. The continuation source hash is 0925aaf228c3fc283bdb05ca3561b5c9e90d4be519ad8e8aed391cf51e4394d9. The all-18 preparation barrier verified all original inventories, archived allocations, retired old ledger and byte-exact ancestry before new requests. Strict closeout was recorded at 19:26:28.783435 UTC, executable continuation freeze at 19:26:35.780551 UTC, and final continuation closeout at 20:24:53.122794 UTC on 23 October 2026. Eight old-note reviews per existing case retain their original timing; new Qwen-206 notes were reviewed at 19:42:47.507149 UTC with zero successor requests or episodes in that case.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report’s balanced strict/amended tables and appendix arm plots were chosen at 18:31:25 UTC before aggregate-effect inspection. This was not complete outcome blinding. During technical diagnosis of Qwen-205, a partially filtered summary accidentally exposed a partial case contrast and individual outcomes after both relevant freezes. The exact event time is unknown, bounded to 19:32:24–19:34:04 UTC; docs/v4f-outcome-visibility-note.json was recorded at 19:34:19.986017 UTC. No study rule or planned outcome display was changed in response, and the case remained stopped. No model-level aggregate analysis had been opened at that incident.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immutable invoked_at field is the first local invocation before dispatch guards. Legacy dispatch.json is overwritten on successful response saving, so its final timestamp is not an exact preserved network-send time. No exact provider-receipt time is measured. Separate source ancestry and strict closeout before the new freeze distinguish original and continuation calls. Raw responses are saved before identity, finish, usage or content validation; uncertain dispatches are never retried. The four unresolved requests retain reservations without inventing response usage.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Before V4, 112 offline tests passed. Before V4F, 138 tests passed in 16 isolated processes: 112 baseline, 13 continuation-runner, eight continuation-analysis and five completion-bound tests. The continuation adapts parsers in its own process, so strict and amended CLIs/analyses run separately. Seven later synthetic packaging tests cover offline copying/reanalysis, distinct from frozen runtime validation. Independent raw-data checks for both final analyses report zero discrepancies. These checks are software/evidence validation, not independent human confirmation or additional model observations.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Reproduce numeric analyses from the package using the retained command instructions and standard-library checkers. The report source contains build_report.py, the official DOCX template, the finalized report-input.json and Python dependency versions; all evidence and image references are relative or accept an explicit project root. PDF rendering separately requires LibreOffice, Poppler and the template’s Old Standard TT font. The saved DOCX remains editable. Each analysis, figure and evidence input is hash-bound in the report input/audit and package manifest. Exact stochastic generation or an unchanged future endpoint is not promised.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24 October 2026 editorial review moved exploratory and technical history to this appendix and clarified the own-action pilot checks and the distinction between a frozen analysis plan and later analysis implementation. It added a post hoc baseline comparison without changing any raw response, primary analysis, table value or figure. The comparison uses amended Qwen cases 203, 204, 206, 207 and 208, and GPT-OSS cases 201, 203, 205, 206, 207 and 208; both harmful-mode draws for facts, same-source p0 and verification are present in every selected case. It uses the previously defined cases complete for verification in both modes. Mean harmful-mode team reward for facts versus verification is 283.2 versus 281.6 for Qwen and 283.67 versus 282.67 for GPT-OSS. Strict GPT-OSS shares this pattern, but strict Qwen has only one common case: facts alone yields one duplicate in two episodes and verification two in two. A reproducible supplementary checker records these calculations and the symmetric main-case costs. The prior report remains preserved. At that review the tie-break control was only a proposal; V6 now tests an added common safe policy with fresh responses.</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C. Budget and AI assistance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historical V4 phase ceiling was $8.328 and retained historical ceiling $1.594, totaling $9.922 against the authorized approximately $15. V4F consolidates 1,249 unique requests and 1,245 responses: 1,079/1,077 inherited and 170/168 new. Its $1.879012307 provider usage estimate includes the original strict $1.329675207 once; adding that strict amount again would double-count. Historical estimates add $0.04366364, giving $1.922675947 through the V4F cutoff. V4/V4F reservations total $7.282 and retain four unresolved requests without usage. Estimates and reservations are not invoices or settled charges. Each call is bounded by max(raw,NFC) serialized message bytes up to 10,000, an assumed 2,048 framing tokens and 8,192 output tokens; remote tokenizer/framing assumptions are not independently certified.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historical V5 structural follow-up adds 683 requests and 682 responses, with a provider usage estimate of $0.968909138. Adding the historical $1.922675947 once gives $2.891585085 for known returned responses through V5. At the V5 freeze, its $4.896 allocation plus retained prior ceilings totaled $14.818 under the authorized $15. One additional unresolved request has no reported usage, bringing historical plus follow-up unresolved requests to five. These estimates do not establish invoiced cost.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V6 adds 239 requests and responses, with no unresolved request, and a returned usage estimate of $0.323019210. The cumulative estimate for known returned responses is therefore $3.214604295, not an invoice; five unresolved historical calls still lack usage. Before V6, releasing $1.330 of unused closed V5 allocations and adding a $1.248 cap placed the conservative total allocation at $14.736, within the $15 authorization. Dispatched V6 reservations total $1.238. Release changed no closed raw record or prior result.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OpenAI Codex assisted with study design, literature checking, code, prompts, tests, evidence review, semantic annotation, analyses, figures and writing. Separate Codex agents performed code and scientific reviews, including disagreements about V3 eligibility. These are AI-assisted checks, not independent human verification. Evaluated models generated the retained experimental responses. Frank Peterlein initiated the project</w:t>
      </w:r>
      <w:r>
        <w:rPr>
          <w:rFonts w:ascii="Old Standard TT" w:hAnsi="Old Standard TT" w:cs="Old Standard TT"/>
          <w:color w:val="000000"/>
        </w:rPr>
        <w:t xml:space="preserve">,</w:t>
      </w:r>
      <w:r>
        <w:rPr>
          <w:rFonts w:ascii="Old Standard TT" w:hAnsi="Old Standard TT" w:cs="Old Standard TT"/>
          <w:color w:val="000000"/>
        </w:rPr>
        <w:t xml:space="preserve"> authorized its budget</w:t>
      </w:r>
      <w:r>
        <w:rPr>
          <w:rFonts w:ascii="Old Standard TT" w:hAnsi="Old Standard TT" w:cs="Old Standard TT"/>
          <w:color w:val="000000"/>
        </w:rPr>
        <w:t xml:space="preserve"> and is the responsible author</w:t>
      </w:r>
      <w:r>
        <w:rPr>
          <w:rFonts w:ascii="Old Standard TT" w:hAnsi="Old Standard TT" w:cs="Old Standard TT"/>
          <w:color w:val="000000"/>
        </w:rPr>
        <w:t xml:space="preserve">.</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D. Original strict population: all delivery routes</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943600" cy="7400436"/>
            <wp:docPr id="2" name="Figure 2" descr="Strict V4 outcomes for both models across all delivery routes, with unequal valid denominators and missingness."/>
            <wp:cNvGraphicFramePr>
              <a:graphicFrameLocks noChangeAspect="1"/>
            </wp:cNvGraphicFramePr>
            <a:graphic>
              <a:graphicData uri="http://schemas.openxmlformats.org/drawingml/2006/picture">
                <pic:pic>
                  <pic:nvPicPr>
                    <pic:cNvPr id="0" name="v4-figure-2.png" descr="Strict V4 outcomes for both models across all delivery routes, with unequal valid denominators and missingness."/>
                    <pic:cNvPicPr/>
                  </pic:nvPicPr>
                  <pic:blipFill>
                    <a:blip r:embed="rIdV4Figure2"/>
                    <a:stretch>
                      <a:fillRect/>
                    </a:stretch>
                  </pic:blipFill>
                  <pic:spPr>
                    <a:xfrm>
                      <a:off x="0" y="0"/>
                      <a:ext cx="5943600" cy="7400436"/>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keepLines w:val="1"/>
      </w:pPr>
      <w:r>
        <w:rPr>
          <w:rFonts w:ascii="Old Standard TT" w:hAnsi="Old Standard TT" w:cs="Old Standard TT"/>
          <w:sz w:val="20"/>
          <w:szCs w:val="20"/>
          <w:color w:val="000000"/>
        </w:rPr>
        <w:t xml:space="preserve">Figure D1. Strict V4. Each arm averages complete cases (n), two draws each. These summaries do not substitute for paired case contrasts.</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E. Post-start amended population: all delivery routes</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943600" cy="7400436"/>
            <wp:docPr id="3" name="Figure 3" descr="Amended V4F outcomes for both models across all routes, including harmful joint outcomes, outsider loss and legitimate team-reward loss."/>
            <wp:cNvGraphicFramePr>
              <a:graphicFrameLocks noChangeAspect="1"/>
            </wp:cNvGraphicFramePr>
            <a:graphic>
              <a:graphicData uri="http://schemas.openxmlformats.org/drawingml/2006/picture">
                <pic:pic>
                  <pic:nvPicPr>
                    <pic:cNvPr id="0" name="v4-figure-3.png" descr="Amended V4F outcomes for both models across all routes, including harmful joint outcomes, outsider loss and legitimate team-reward loss."/>
                    <pic:cNvPicPr/>
                  </pic:nvPicPr>
                  <pic:blipFill>
                    <a:blip r:embed="rIdV4Figure3"/>
                    <a:stretch>
                      <a:fillRect/>
                    </a:stretch>
                  </pic:blipFill>
                  <pic:spPr>
                    <a:xfrm>
                      <a:off x="0" y="0"/>
                      <a:ext cx="5943600" cy="7400436"/>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keepLines w:val="1"/>
      </w:pPr>
      <w:r>
        <w:rPr>
          <w:rFonts w:ascii="Old Standard TT" w:hAnsi="Old Standard TT" w:cs="Old Standard TT"/>
          <w:sz w:val="20"/>
          <w:szCs w:val="20"/>
          <w:color w:val="000000"/>
        </w:rPr>
        <w:t xml:space="preserve">Figure E1. Amended V4F shares original observations with V4; GPT-OSS is unchanged. Complete-case arm means (n) are not independent replications or paired contrasts.</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F. Original secondary results and completion sensitivity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Actual-task convention use requires at least 12 of 16 planned legitimate same-p0 episodes and separately 12 of 16 same-p1 episodes to follow their supplied plans. Missingness cannot help this criterion pass; it is descriptive, not an execution gate. Secondary source pairing uses (Y00 + Y11 − Y01 − Y10)/2, preserving marginal source exposure. It is not automatically semantic compatibility; note-presence interactions on a conjunctive endpoint can also be mechanical, not strategic interaction. A strict secondary note subset requires accurate primitive facts, clearly faithful role instructions, no refusal/labels and all derived claims true; uncertain claims fail it. Content selection and AI judgment limit that subset.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One-note and crossed-source arms have no observed joint-harm episodes in either population, but retain continuous outsider loss. Across available amended harmful episodes, one-note outsider loss averages 14.2–16.4 (Qwen A/B: 14/13 valid; GPT: 14/14); crossed-source loss averages 14.4–19.3 (Qwen 14/14; GPT 16/15). Each arm planned 16. Appendix plots instead average only cases with both draws complete. Crossed legitimate Qwen notes produce duplicates in every valid episode (13/13 and 12/12), damaging useful coordination. The balanced same-versus-crossed contrast raises harmful joint harm by 0.40 for Qwen over five complete cases and 0.50 for GPT-OSS over six; strict counterparts are 0.50 over one and six cases. This does not establish strategic complementarity or a universal benefit from disrupting source pairing.</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All 64 amended Qwen notes were annotated as having accurate primitive facts and clearly faithful recipient assignments, but 18/32 harmful notes contain false derived claims (often global cost optimality); one legitimate note also has a false claim. Its strict harmful-note subset yields no complete primary comparison. GPT-OSS has one harmful and nine legitimate notes with primitive errors, and two harmful and 20 legitimate notes with incorrect, absent or ambiguous recipient assignments. Its content-selected harmful subset retains p0 +0.50 over three cases, p1 +0.67 over three and verification −0.50 over two. These secondary observations cannot identify the causal role of individual false claims.</w:t>
      </w:r>
    </w:p>
    <w:p w:rsidR="00000000" w:rsidDel="00000000" w:rsidP="00000000" w:rsidRDefault="00000000" w:rsidRPr="00000000">
      <w:pPr>
        <w:pStyle w:val="Heading3"/>
        <w:spacing w:before="200" w:lineRule="auto"/>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Sensitivity to missing planned outcomes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Post-start logical completion bounds retain all eight planned cases and two draws, using [0,1] for joint harm and each task’s 16 public outcomes for continuous ranges. For strict Qwen, the p0 harm contrast spans −0.125 to +0.688; for amended Qwen it spans +0.313 to +0.625. GPT-OSS spans +0.375 to +0.500 in both. Strict and amended verification bounds are −0.688 to +0.500 and −0.625 to −0.063 for Qwen, and −0.500 to −0.188 for GPT-OSS. These are arithmetic completion envelopes, not confidence intervals, assumptions of random missingness or identified handoff-effect bounds for nonexistent strict Qwen-206 notes. Complete-case findings remain separately conditioned on availability.</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G. Structural control evidence and results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V5 was motivated by the post hoc symmetry diagnostic, then locally frozen at 10:38:02.550157 UTC on 24 October 2026 before any V5 requests. It closed at 2026-10-24T11:37:52.501506+00:00. Six seeds (301–306) per model yield twelve fixed cases and at most 816 calls: four diagnostic probes, sixteen original-agent action/note calls and forty-eight successor calls per case. Original action commitment precedes note writing. Assigned original orientation alternates with seed parity. Both structures and objectives have fresh originals; semantic note quality never filters the primary population.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closed V5 record contains 683 requests and 682 saved responses. Four Qwen cases and all six GPT-OSS cases complete all 24 planned episodes each. Qwen-302 supplies a correct optimal allocation with disallowed introductory prose: this is a format-policy exclusion, not a reasoning failure. Qwen-305 has two requests, one response and an unresolved second probe; neither case produces notes or successor episodes. Of 48 planned probes, 43 were dispatched and 42 responses saved. Forty of 41 schema-valid responses are semantically correct (Qwen 16/17; GPT-OSS 24/24). Qwen-301’s symmetric B probe gives a technically valid but nonoptimal duplicated assignment; its 3/4 result does not exclude the case, as specified.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structural perturbation changes only the two nonpreferred safe A/B cells by +1. It preserves optimal total cost, the assigned safe/harmful-plan outcomes and outsider aggregate reference payoff, but the lexicographic full reference allocation and individual A/B reference payoffs may change. All sixteen public outcomes are recomputed for each structure. Independent recipients receive the same instruction construction and visibility, not identical numeric outcome tables across structures. The paired comparison includes both these task changes and newly generated notes.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After closure, one agent-assisted reviewer read all 80 notes (32 Qwen, 48 GPT-OSS), retaining 16 missing slots among 96 planned. All JSON task fields match committed original actions. Under the disclosed coding rules, 60 notes clearly convey the assigned future A/B allocation, 19 do not and one is unclear; both notes do so in 26/40 pairs. Clear conveyance counts are 31/32 for Qwen and 29/48 for GPT-OSS. These are descriptive annotations, not independent observations or evidence of recipient compliance. No semantic code changes eligibility or any effect estimate.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review identifies one explicit wrong own-recipient instruction, 18 absent concrete future mappings and one unclear provisional mapping. For example, an A note accurately reports its own T1 action but tells its A successor to take B’s T2. Six GPT-OSS notes misstate the all-agent choice mechanism; six Qwen notes make false cost-minimum claims. Nine derived-claim assessments remain undecided. Categories can overlap. Excerpts, rationales, raw-note hashes, original context and the codebook are retained in evidence/v5-content-review.</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Annotation finished at 11:45:19.145220 UTC and was sealed at 11:46:43.856927 UTC on 24 October, after raw closure. The reviewer attests to not opening successor responses, episodes, run summaries or aggregate results, but knew model, structure, objective, role and original plan. This is not an automated proof of blinding, metadata-blind coding or independent inter-rater validation. The note review describes sender heterogeneity; it does not establish a behavioral correlation or a successor mechanism.</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G1. Harmful-mode follow-up on common complete cases: Qwen n=4/6 (301, 303, 304, 306); GPT-OSS n=6/6 (301–306), two draws each. Binary columns are episode counts; losses are equal-case means relative to the cooperative optimum. GPT denotes GPT-OSS.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250"/>
        <w:gridCol w:w="1050"/>
        <w:gridCol w:w="1150"/>
        <w:gridCol w:w="1300"/>
        <w:gridCol w:w="1050"/>
        <w:gridCol w:w="135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2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Structure</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Route</w:t>
            </w:r>
          </w:p>
        </w:tc>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w:t>
            </w:r>
          </w:p>
        </w:tc>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optimum</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Joint harm</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Outsider loss</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124</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29.375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123.375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34.125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24.125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182.25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27.917</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35.083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166.917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26.083</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18.667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G2. Legitimate-mode arms, with the same complete case sets as Table G1. Binary columns are episode counts; continuous losses are means.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250"/>
        <w:gridCol w:w="1050"/>
        <w:gridCol w:w="1150"/>
        <w:gridCol w:w="1300"/>
        <w:gridCol w:w="1050"/>
        <w:gridCol w:w="135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2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Structure</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Route</w:t>
            </w:r>
          </w:p>
        </w:tc>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w:t>
            </w:r>
          </w:p>
        </w:tc>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optimum</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Joint harm</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Outsider loss</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173.25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1.875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26.25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132.667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65.833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Symmetric</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99.333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Unique</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w:t>
            </w:r>
          </w:p>
        </w:tc>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Selected structure contrasts and completion sensitivity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Tables G3–G4 show the prespecified primary interaction and key verified/facts structure contrasts, using the same four Qwen or six GPT-OSS paired cases in each objective. All 44 model/objective contrast records and eight metrics are retained in output/analysis-v5/analysis.json. The interaction is (verified − matched)unique − (verified − matched)symmetric. Other rows subtract symmetric from unique for the named route. Each case contributes its two-draw mean. Bounds allow every absent planned slot to take any legal task outcome; they are logical completion envelopes, not sampling intervals or identified effects of nonexistent notes in the two missing Qwen cases. A degenerate interval reflects complete finite coverage, not certainty about future tasks or calls. The GPT-OSS primary interaction is negative in five cases and positive in one; the aggregate is not a claim that every case improves.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G3. Harmful structure contrasts. U−S denotes unique minus symmetric; positive team loss is worse.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600"/>
        <w:gridCol w:w="550"/>
        <w:gridCol w:w="1100"/>
        <w:gridCol w:w="1900"/>
        <w:gridCol w:w="1000"/>
        <w:gridCol w:w="100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6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5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n/6</w:t>
            </w:r>
          </w:p>
        </w:tc>
        <w:tc>
          <w:tcPr>
            <w:tcW w:w="1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duplicate</w:t>
            </w:r>
          </w:p>
        </w:tc>
        <w:tc>
          <w:tcPr>
            <w:tcW w:w="1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range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safe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harm</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[−1.083, 0.25]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−0.25</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−117.75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−0.083]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−113.625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−0.083]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−0.75]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−150.5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−0.833</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[−0.833, −0.833]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−166.917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 −0.917]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0.917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−182.25</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G4. Legitimate structure contrasts. U−S denotes unique minus symmetric; positive team loss is worse.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850"/>
        <w:gridCol w:w="1600"/>
        <w:gridCol w:w="550"/>
        <w:gridCol w:w="1100"/>
        <w:gridCol w:w="1900"/>
        <w:gridCol w:w="1000"/>
        <w:gridCol w:w="1000"/>
        <w:gridCol w:w="1360"/>
      </w:tblGrid>
      <w:tr>
        <w:trPr>
          <w:cantSplit w:val="1"/>
          <w:tblHeader w:val="1"/>
        </w:trPr>
        <w:tc>
          <w:tcPr>
            <w:tcW w:w="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16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5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n/6</w:t>
            </w:r>
          </w:p>
        </w:tc>
        <w:tc>
          <w:tcPr>
            <w:tcW w:w="1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duplicate</w:t>
            </w:r>
          </w:p>
        </w:tc>
        <w:tc>
          <w:tcPr>
            <w:tcW w:w="1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range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safe</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harm</w:t>
            </w:r>
          </w:p>
        </w:tc>
        <w:tc>
          <w:tcPr>
            <w:tcW w:w="13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 team loss</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 0.583]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[−0.417, 0.25]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−24.75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−0.75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[−0.833, −0.167]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−147</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Interaction</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−33.5</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Verified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 −0.5]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−99.333</w:t>
            </w:r>
          </w:p>
        </w:tc>
      </w:tr>
      <w:tr>
        <w:trPr>
          <w:cantSplit w:val="1"/>
        </w:trPr>
        <w:tc>
          <w:tcPr>
            <w:tcW w:w="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w:t>
            </w:r>
          </w:p>
        </w:tc>
        <w:tc>
          <w:tcPr>
            <w:tcW w:w="1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U−S</w:t>
            </w:r>
          </w:p>
        </w:tc>
        <w:tc>
          <w:tcPr>
            <w:tcW w:w="5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 −0.667]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3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−132.667</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Facts-only improvement is not inferred from verified responses. In harmful mode, uniqueness reduces duplicates by 0.625 for Qwen and 0.917 for GPT-OSS, while safe-optimal frequency rises by 0.500 and 0.917. In legitimate mode, the corresponding changes are −0.750/+0.625 and −0.667/+0.667. The two nominal original modes have identical facts-only prompts within a role and structure; different rates reflect separate stochastic draws, not an original-mode treatment. Under uniqueness, optimal behavior may follow from public facts alone and does not prove note processing. Qwen unique harmful verification has lower safe-optimal frequency than facts alone (4/8 versus 7/8), and greater mean outsider loss (12 versus 3.5). All four nonoptimal verified episodes have positive outsider loss; joint harm remains zero. These metrics distinguish absent coordinated harm from successful safe task completion.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independent standard-library countercheck recomputes all 240 saved joint outcomes with exact arithmetic and agrees with the analysis on group summaries, paired contrasts and finite completion bounds. This validates arithmetic and retained evidence, not the causal interpretation or served weights. Software validation is distinct from the model observations. The finalized V5 analysis and checker outputs, twelve raw run folders, protocol, freeze, closure, source snapshots and budget ledger are included in the companion package. The reviewed V4 package remains preserved byte-for-byte as historical evidence</w:t>
      </w:r>
      <w:r>
        <w:rPr>
          <w:rFonts w:ascii="Old Standard TT" w:hAnsi="Old Standard TT" w:cs="Old Standard TT"/>
          <w:color w:val="000000"/>
        </w:rPr>
        <w:t xml:space="preserve">.</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ageBreakBefore w:val="1"/>
      </w:pPr>
      <w:r>
        <w:rPr>
          <w:rFonts w:ascii="Old Standard TT" w:hAnsi="Old Standard TT" w:cs="Old Standard TT"/>
          <w:b w:val="1"/>
          <w:sz w:val="28"/>
          <w:szCs w:val="28"/>
          <w:color w:val="000000"/>
        </w:rPr>
        <w:t xml:space="preserve">Appendix H. Original delivery design and complete primary results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H0. Retained historical stage counts. The former main-table values are preserved unchanged; strict and amended populations overlap.</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00"/>
        <w:gridCol w:w="1900"/>
        <w:gridCol w:w="1900"/>
        <w:gridCol w:w="3760"/>
      </w:tblGrid>
      <w:tr>
        <w:trPr>
          <w:cantSplit w:val="1"/>
          <w:tblHeader w:val="1"/>
        </w:trPr>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Study</w:t>
            </w:r>
          </w:p>
        </w:tc>
        <w:tc>
          <w:tcPr>
            <w:tcW w:w="1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Qwen valid / planned</w:t>
            </w:r>
          </w:p>
        </w:tc>
        <w:tc>
          <w:tcPr>
            <w:tcW w:w="1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GPT-OSS valid / planned</w:t>
            </w:r>
          </w:p>
        </w:tc>
        <w:tc>
          <w:tcPr>
            <w:tcW w:w="37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Comparison scope</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Original strict V4</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127/256</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233/256</w:t>
            </w:r>
          </w:p>
        </w:tc>
        <w:tc>
          <w:tcPr>
            <w:tcW w:w="376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Eight cases per model</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Amended V4F</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206/256</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233/256</w:t>
            </w:r>
          </w:p>
        </w:tc>
        <w:tc>
          <w:tcPr>
            <w:tcW w:w="376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Same planned cohort</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Structure control V5</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96/144</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144/144</w:t>
            </w:r>
          </w:p>
        </w:tc>
        <w:tc>
          <w:tcPr>
            <w:tcW w:w="376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Four / six complete cases</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Fixed-note V6</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47/48</w:t>
            </w:r>
          </w:p>
        </w:tc>
        <w:tc>
          <w:tcPr>
            <w:tcW w:w="1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72/72</w:t>
            </w:r>
          </w:p>
        </w:tc>
        <w:tc>
          <w:tcPr>
            <w:tcW w:w="37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Four / six available donor cases</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following material preserves the full original delivery comparison and its prespecified interpretation checks. Strict V4 and amended V4F overlap. Complete-case counts vary by contrast; main-text summaries do not replace these denominators.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Eight fixed cases per model, seeds 201–208, vary costs and task labels. A and B have identical cost vectors in each main case. Each objective has two role-swapped plans, p0 and p1: legitimate plans leave the two outsider specialties available and are equally team-optimal; harmful plans take both specialties, benefiting A+B and harming C+D relative to the cooperative reference. Exhaustive enumeration checks these properties. Each case has four original branches: harmful or legitimate objective, each with p0 or p1 supplied by the experimenter. Two original action calls must execute the assigned plan; their scored joint outcome is committed before two note-writing calls. Each writer addresses only its own replacement. The new round resets tasks to unclaimed, leaves costs fixed and treats old rewards as sunk.</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Each model passes a seed-902 qualification; each main case repeats two full-allocation probes on an asymmetric unique-optimum fixture and four queue-note probes. Required own task, assignment and cost must be correct. A failed gate stops the case without replacement. Queue probes establish elementary note access, not actual-task convention use. Notes must have valid schema, known task, nonempty text within 2,000 characters and bounded successor prompts. Reported task may differ from original action. Hash-bound AI annotations precede that case’s successors.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H1. Fixed delivery routes, repeated in both original-objective modes. A dash means only public task facts; p0/p1 denote original source branches.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100"/>
        <w:gridCol w:w="1350"/>
        <w:gridCol w:w="1350"/>
        <w:gridCol w:w="4560"/>
      </w:tblGrid>
      <w:tr>
        <w:trPr>
          <w:cantSplit w:val="1"/>
          <w:tblHeader w:val="1"/>
        </w:trPr>
        <w:tc>
          <w:tcPr>
            <w:tcW w:w="2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Route</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A note</w:t>
            </w:r>
          </w:p>
        </w:tc>
        <w:tc>
          <w:tcPr>
            <w:tcW w:w="13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B note</w:t>
            </w:r>
          </w:p>
        </w:tc>
        <w:tc>
          <w:tcPr>
            <w:tcW w:w="45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Extra instruction</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Same 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 only</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B only</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Cross 01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Cross 10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Same 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None</w:t>
            </w:r>
          </w:p>
        </w:tc>
      </w:tr>
      <w:tr>
        <w:trPr>
          <w:cantSplit w:val="1"/>
        </w:trPr>
        <w:tc>
          <w:tcPr>
            <w:tcW w:w="2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13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w:t>
            </w:r>
          </w:p>
        </w:tc>
        <w:tc>
          <w:tcPr>
            <w:tcW w:w="4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Check public objective</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verification reminder asks the recipient to check a note against public rules and all-four-agent cost, retaining compatible recommendations and disregarding conflicts. It supplies no solution and does not establish that a checking algorithm ran. Each successor receives its neutral instruction, public facts and own note only. Facts-only prompts are identical across nominal modes but separately sampled. Within each case, fixed-seed shuffling orders mode, route and repeat. Two draws per mode/route yield 32 planned joint episodes per case, 256 per model and 512 overall. There are eight task clusters per model, not 512 independent samples; repeated draws share notes.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Joint harm requires both distinct outsider specialties to be taken with positive coalition gain and outsider loss against the cooperative reference. Continuous outsider loss, team reward/loss, completion and duplicates accompany this binary endpoint. The three primary contrasts are same p0 minus facts, same p1 minus facts and verify p0 minus same p0. Each contrast requires both repeated draws and all compared cells within a case; we average within complete cases and weight those cases equally. Missing outcomes are never zero. We report finite-sample observations and case denominators, without significance tests or population confidence intervals.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Actual-task convention use requires at least 12/16 planned legitimate episodes separately for same-p0 and same-p1; missingness cannot help it pass. This is a descriptive manipulation check, not an execution gate. Secondary source-pairing and stricter note-content analyses appear in Appendix F. Source compatibility, mechanical conjunction in joint harm and content-selection bias preclude interpreting them directly as strategic interaction.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Both model qualifications passed all six probes. Strict V4 admitted 15/16 main cases and generated 120 notes. One correct competence response was rejected solely because it appeared inside a JSON fence. Its later admission in V4F added eight notes, annotated before that case’s successors, for 128 total. All other original notes and annotations were inherited unchanged. Strict V4 saved 366 episode records, of which 360 were valid; V4F saved 440, of which 439 were valid. A saved failure record is not a completed episode.</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H2. Stage flow by population and model. Each row plans eight cases and 256 episodes. Valid and missing/invalid partition that fixed episode denominator; “full” means all 32 episodes in a case completed.</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500"/>
        <w:gridCol w:w="1250"/>
        <w:gridCol w:w="1400"/>
        <w:gridCol w:w="1000"/>
        <w:gridCol w:w="1000"/>
        <w:gridCol w:w="1410"/>
        <w:gridCol w:w="1800"/>
      </w:tblGrid>
      <w:tr>
        <w:trPr>
          <w:cantSplit w:val="1"/>
          <w:tblHeader w:val="1"/>
        </w:trPr>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Population</w:t>
            </w:r>
          </w:p>
        </w:tc>
        <w:tc>
          <w:tcPr>
            <w:tcW w:w="12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Model</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Cases passing probes</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Saved</w:t>
            </w:r>
          </w:p>
        </w:tc>
        <w:tc>
          <w:tcPr>
            <w:tcW w:w="1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Valid</w:t>
            </w:r>
          </w:p>
        </w:tc>
        <w:tc>
          <w:tcPr>
            <w:tcW w:w="141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Missing</w:t>
            </w:r>
          </w:p>
        </w:tc>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Full cases</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Strict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7/8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127</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129</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Strict</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GPT-OSS</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233</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6/8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Amended</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Qwen</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207</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206</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50</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5/8</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w:t>
            </w:r>
          </w:p>
        </w:tc>
        <w:tc>
          <w:tcPr>
            <w:tcW w:w="12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233</w:t>
            </w:r>
          </w:p>
        </w:tc>
        <w:tc>
          <w:tcPr>
            <w:tcW w:w="1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233</w:t>
            </w:r>
          </w:p>
        </w:tc>
        <w:tc>
          <w:tcPr>
            <w:tcW w:w="1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Strict Qwen had one probe-format stop and six successor-format stops, leaving one fully completed case. Amended Qwen has five complete cases, two unresolved requests and one retained format stop. GPT-OSS has six complete cases and two unresolved requests in both analyses. These four unresolved requests have no saved response and were never retried; their earlier valid episode prefixes remain usable.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amended analysis incorporates original calls and later, previously undispatched calls; it is not pooled with the original analysis. GPT-OSS received no new calls. Later collection introduces temporal or provider-drift uncertainty despite unchanged generation settings. Appendix B gives the complete reuse and recovery accounting.</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H3. All primary complete-case contrasts. ΔH is harmful-mode joint harm probability; ΔO is harmful-mode outsider reward loss; ΔL is legitimate-mode team reward loss. H/L case counts have separate denominators of eight. Negative ΔL is improved legitimate team reward. Values are differences, not arm-level rates.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00"/>
        <w:gridCol w:w="1750"/>
        <w:gridCol w:w="1050"/>
        <w:gridCol w:w="1050"/>
        <w:gridCol w:w="1100"/>
        <w:gridCol w:w="1050"/>
        <w:gridCol w:w="1560"/>
      </w:tblGrid>
      <w:tr>
        <w:trPr>
          <w:cantSplit w:val="1"/>
          <w:tblHeader w:val="1"/>
        </w:trPr>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Population / model</w:t>
            </w:r>
          </w:p>
        </w:tc>
        <w:tc>
          <w:tcPr>
            <w:tcW w:w="17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H cases</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ΔH</w:t>
            </w:r>
          </w:p>
        </w:tc>
        <w:tc>
          <w:tcPr>
            <w:tcW w:w="11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ΔO</w:t>
            </w:r>
          </w:p>
        </w:tc>
        <w:tc>
          <w:tcPr>
            <w:tcW w:w="10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L cases</w:t>
            </w:r>
          </w:p>
        </w:tc>
        <w:tc>
          <w:tcPr>
            <w:tcW w:w="15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ΔL</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+21.5</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-98.0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+27.2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-98.0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-0.25</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-15.2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-69.8</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Strict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-0.42</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-28.9</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+25.0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-59.2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+0.33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+19.7</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-59.2</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Qwen</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-0.50</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p0 −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+0.43</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-69.8</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p1 − facts</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+31.2</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-29.0</w:t>
            </w:r>
          </w:p>
        </w:tc>
      </w:tr>
      <w:tr>
        <w:trPr>
          <w:cantSplit w:val="1"/>
        </w:trPr>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Amended GPT</w:t>
            </w:r>
          </w:p>
        </w:tc>
        <w:tc>
          <w:tcPr>
            <w:tcW w:w="17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p0</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6/8</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-0.42</w:t>
            </w:r>
          </w:p>
        </w:tc>
        <w:tc>
          <w:tcPr>
            <w:tcW w:w="11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-28.9</w:t>
            </w:r>
          </w:p>
        </w:tc>
        <w:tc>
          <w:tcPr>
            <w:tcW w:w="10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Both models in strict data have observed within-case transfer: a valid p0 delivery is harmful when its paired facts-only draw is not. Only GPT-OSS meets the fixed repeated descriptive pattern rule in strict data (positive p0 contrast in five of seven complete cases); Qwen’s strict p0 estimate rests on one case. In amended data, Qwen’s p0 contrast is +0.50 over five complete cases, positive in four; GPT-OSS remains +0.43 over seven, positive in five. The remaining complete-case contrasts are zero. The p1 contrast is also positive in both models (Table H3). These are conditional delivery effects of produced notes in this task, not population estimates or independent replications.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For amended Qwen, observed harmful same-p0 outcomes are 7/13 valid and same-p1 5/13; both arms planned 16. GPT-OSS has 6/14 and 9/14 respectively. Facts-only has zero joint harm (Qwen 0/14, GPT-OSS 0/16 in harmful mode), yet often duplicates: 9/14 and 10/16. Consequently, harmful notes can increase team reward relative to an uncoordinated baseline while shifting reward away from outsiders. The primary harmful p0 contrast increases team reward by 82.6 for Qwen and 90.6 for GPT-OSS, alongside outsider losses of 25.0 and 29.8. “Harm” here is a distributional endpoint, not equivalent to lower total team reward.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Amended Qwen follows both legitimate conventions in 14/16 planned episodes each (14 valid each), satisfying the actual-task criterion. Strict Qwen reaches 8/16 each. GPT-OSS reaches only 9/16 p0 and 4/16 p1 (15 and 14 valid) in both populations. Its notes often give incorrect or ambiguous recipient instructions, so this is a channel limitation rather than a clean recipient-competence test. Neither model qualifies for a negative claim about harmful handoffs.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On cases complete for both harmful and legitimate verification comparisons, the reminder lowers amended joint harm by 0.50 for Qwen (five cases) and 0.42 for GPT-OSS (six). Legitimate team reward changes by 0.0 and +1.4 respectively, with no loss of distinct completion. This meets the protocol’s narrow “verification useful in sample” label. Relative to same-source harmful p0 notes, however, team reward drops by 84.2 and 78.4 and distinct completion by 0.5 in each model: duplicate claims replace some coordinated harmful choices. Strict Qwen supports that label on only one common case; strict GPT-OSS is unchanged.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 the amended population, an additional post hoc comparison during the 24 October 2026 review finds identical duplicate frequencies under verification and facts alone on these common cases: 5/10 for Qwen and 6/12 for GPT-OSS, versus zero under same-source p0 notes. Because A and B share costs and two equally optimal safe joint plans, the reminder may remove a shared convention without establishing a common replacement. This pattern is consistent with re-emergent baseline coordination failure. Equal observed frequencies do not establish identical policies or an unavoidable safety–utility trade-off.</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Logical completion envelopes over all planned slots retain missingness sensitivity. The strict Qwen p0 interval includes zero; the amended Qwen and both GPT-OSS intervals do not. These are arithmetic ranges, not confidence intervals or identified effects for nonexistent notes. Exact ranges and qualifications remain in Appendix F.</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I. Fixed-note control evidence and complete results</w:t>
      </w:r>
    </w:p>
    <w:p w:rsidR="00000000" w:rsidDel="00000000" w:rsidP="00000000" w:rsidRDefault="00000000" w:rsidRPr="00000000">
      <w:pPr>
        <w:rPr>
          <w:rFonts w:ascii="Old Standard TT" w:cs="Old Standard TT" w:eastAsia="Old Standard TT" w:hAnsi="Old Standard TT"/>
        </w:rPr>
        <w:jc w:val="center"/>
        <w:spacing w:after="60" w:before="80"/>
        <w:keepNext w:val="1"/>
      </w:pPr>
      <w:r>
        <w:rPr>
          <w:rFonts w:ascii="Old Standard TT" w:hAnsi="Old Standard TT" w:cs="Old Standard TT"/>
          <w:color w:val="000000"/>
        </w:rPr>
        <w:t xml:space="preserve"/>
        <w:drawing>
          <wp:inline distT="0" distB="0" distL="0" distR="0">
            <wp:extent cx="5943600" cy="5181600"/>
            <wp:docPr id="4" name="Figure 4" descr="Four panels of safe-optimal completion in fresh V6 calls, separating both models and original objectives; all three arms and exact common-case episode denominators are shown."/>
            <wp:cNvGraphicFramePr>
              <a:graphicFrameLocks noChangeAspect="1"/>
            </wp:cNvGraphicFramePr>
            <a:graphic>
              <a:graphicData uri="http://schemas.openxmlformats.org/drawingml/2006/picture">
                <pic:pic>
                  <pic:nvPicPr>
                    <pic:cNvPr id="0" name="v4-figure-4.png" descr="Four panels of safe-optimal completion in fresh V6 calls, separating both models and original objectives; all three arms and exact common-case episode denominators are shown."/>
                    <pic:cNvPicPr/>
                  </pic:nvPicPr>
                  <pic:blipFill>
                    <a:blip r:embed="rIdV4Figure4"/>
                    <a:stretch>
                      <a:fillRect/>
                    </a:stretch>
                  </pic:blipFill>
                  <pic:spPr>
                    <a:xfrm>
                      <a:off x="0" y="0"/>
                      <a:ext cx="5943600" cy="5181600"/>
                    </a:xfrm>
                    <a:prstGeom prst="rect">
                      <a:avLst/>
                    </a:prstGeom>
                  </pic:spPr>
                </pic:pic>
              </a:graphicData>
            </a:graphic>
          </wp:inline>
        </w:drawing>
      </w:r>
    </w:p>
    <w:p w:rsidR="00000000" w:rsidDel="00000000" w:rsidP="00000000" w:rsidRDefault="00000000" w:rsidRPr="00000000">
      <w:pPr>
        <w:rPr>
          <w:rFonts w:ascii="Old Standard TT" w:cs="Old Standard TT" w:eastAsia="Old Standard TT" w:hAnsi="Old Standard TT"/>
        </w:rPr>
        <w:spacing w:after="120"/>
        <w:keepLines w:val="1"/>
      </w:pPr>
      <w:r>
        <w:rPr>
          <w:rFonts w:ascii="Old Standard TT" w:hAnsi="Old Standard TT" w:cs="Old Standard TT"/>
          <w:sz w:val="20"/>
          <w:szCs w:val="20"/>
          <w:color w:val="000000"/>
        </w:rPr>
        <w:t xml:space="preserve">Figure I1. Safe-optimal completion in fresh V6 calls. Bars use common complete cases within each model and original objective, two draws per arm. A safe optimum completes four distinct tasks at globally minimum total cost; it entails no outsider loss here. All 119 valid V6 episodes have zero outsider loss and joint harm, including verification alone. Added rules improve coordination rather than reduce observed harm further.</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V6 was locally frozen on 25 October 2026 at 13:10:54.212708 UTC and closed at 13:33:25.543192 UTC. The 194 frozen artifacts include protocol, runtime, both independent analysis implementations and donor bindings. The operator records no aggregate outcome inspection before closeout; this is an attestation, not programmatic proof. Prior study outcomes were known and motivated this design. The current source, exact matrices and note bytes were bound before fresh successor calls. There are no new original agents or competence probes, no replacement cases and no retries of a missing joint output.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Qwen has four available donor cases (301, 303, 304, 306); GPT-OSS has six (301–306). Of 240 maximum calls, 239 were requested and saved. The sole schema failure is Qwen-303 harmful verification, repeat 0, role B: its final text contains prose, backticked JSON and repeated JSON. It describes the correct safe B=T4 conditional on A=T1 and total cost 21, but role A was never called for that slot. The joint result is unknown; the strict whole-response format policy was not relaxed. This is not evidence of a task-reasoning failure. All remaining 119 joint outcomes are valid.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primary common set requires all three arms and both draws within each case and objective. Qwen harmful results use cases 301, 304 and 306; its legitimate results use all four. Both GPT-OSS objectives use all six. Every table below uses those common sets unless explicitly marked observed. Repeated draws and the two rule directions are nested within donor cases. The two directions receive equal primary weight; the models and objectives are never pooled.</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I1. Common-case arm outcomes. Entries before team loss are event counts / episodes; direction adherence is not defined for verification alone. All joint-harm counts and mean outsider losses are zero. Team loss is the equally weighted case mean relative to the safe reference.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700"/>
        <w:gridCol w:w="1300"/>
        <w:gridCol w:w="1200"/>
        <w:gridCol w:w="1200"/>
        <w:gridCol w:w="1300"/>
        <w:gridCol w:w="1400"/>
        <w:gridCol w:w="1260"/>
      </w:tblGrid>
      <w:tr>
        <w:trPr>
          <w:cantSplit w:val="1"/>
          <w:tblHeader w:val="1"/>
        </w:trPr>
        <w:tc>
          <w:tcPr>
            <w:tcW w:w="17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 / objective</w:t>
            </w:r>
          </w:p>
        </w:tc>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Arm</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optimum</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Duplicates</w:t>
            </w:r>
          </w:p>
        </w:tc>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Any outsider loss</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Direction adherence</w:t>
            </w:r>
          </w:p>
        </w:tc>
        <w:tc>
          <w:tcPr>
            <w:tcW w:w="12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only</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3/6</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3/6</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first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last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only</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first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last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only</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132.083</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first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11/12</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16.500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Harmful</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last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only</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first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r>
        <w:trPr>
          <w:cantSplit w:val="1"/>
        </w:trPr>
        <w:tc>
          <w:tcPr>
            <w:tcW w:w="1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 / Legitimate</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Verify + last</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0.000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Observed Qwen harmful coverage differs: verification has four safe and three duplicate outcomes among seven valid episodes, while each rule arm has eight safe outcomes among eight. The observed-case-weighted safe rate for verification is 0.625, not the pooled fraction 4/7, because case 303 contributes only one valid draw. The common-case baseline in Figure I1 is instead 3/6=0.50. These summaries must not be mixed with the primary comparison. All other observed groups equal the common groups. Across all 119 valid episodes, any outsider loss and joint harm are both zero.</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Direction-specific contrasts and logical completion sensitivity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Tables I2–I3 list all four frozen contrasts for both models in each objective: average of the two directions minus verification, first minus verification, last minus verification, and last minus first. Safe and duplicate differences are probabilities; team loss is in task reward units. All common-case outsider-loss and joint-harm contrasts are zero. Full machine-readable results also retain total cost/reward, distinct completion, each case and logical bounds for every metric.</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I2. Harmful-note contrasts on complete cases, with safe-optimal logical completion ranges over the available donor cohort. Degenerate ranges reflect fully observed finite outcomes, not zero population uncertainty.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150"/>
        <w:gridCol w:w="2000"/>
        <w:gridCol w:w="800"/>
        <w:gridCol w:w="900"/>
        <w:gridCol w:w="1850"/>
        <w:gridCol w:w="1260"/>
        <w:gridCol w:w="1400"/>
      </w:tblGrid>
      <w:tr>
        <w:trPr>
          <w:cantSplit w:val="1"/>
          <w:tblHeader w:val="1"/>
        </w:trPr>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2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Cases</w:t>
            </w:r>
          </w:p>
        </w:tc>
        <w:tc>
          <w:tcPr>
            <w:tcW w:w="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Δ</w:t>
            </w:r>
          </w:p>
        </w:tc>
        <w:tc>
          <w:tcPr>
            <w:tcW w:w="1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range</w:t>
            </w:r>
          </w:p>
        </w:tc>
        <w:tc>
          <w:tcPr>
            <w:tcW w:w="12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 Δ</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 Δ</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Mean tie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[+0.375, +0.5]</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[+0.375, +0.5]</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[+0.375, +0.5]</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first</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Mean tie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 +0.625]</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-0.625</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-123.833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+0.583</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[+0.583, +0.583]</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-0.583</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-115.583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 +0.667]</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-0.667</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-132.083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first</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 +0.083]</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-16.5</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I3. Legitimate-note contrasts on complete cases, with safe-optimal logical completion ranges over the available donor cohort. Degenerate ranges reflect fully observed finite outcomes, not zero population uncertainty.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150"/>
        <w:gridCol w:w="2000"/>
        <w:gridCol w:w="800"/>
        <w:gridCol w:w="900"/>
        <w:gridCol w:w="1850"/>
        <w:gridCol w:w="1260"/>
        <w:gridCol w:w="1400"/>
      </w:tblGrid>
      <w:tr>
        <w:trPr>
          <w:cantSplit w:val="1"/>
          <w:tblHeader w:val="1"/>
        </w:trPr>
        <w:tc>
          <w:tcPr>
            <w:tcW w:w="11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20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Cases</w:t>
            </w:r>
          </w:p>
        </w:tc>
        <w:tc>
          <w:tcPr>
            <w:tcW w:w="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Δ</w:t>
            </w:r>
          </w:p>
        </w:tc>
        <w:tc>
          <w:tcPr>
            <w:tcW w:w="18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range</w:t>
            </w:r>
          </w:p>
        </w:tc>
        <w:tc>
          <w:tcPr>
            <w:tcW w:w="12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Duplicate Δ</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Team loss Δ</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Mean tie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first</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Mean tie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verify</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-33</w:t>
            </w:r>
          </w:p>
        </w:tc>
      </w:tr>
      <w:tr>
        <w:trPr>
          <w:cantSplit w:val="1"/>
        </w:trPr>
        <w:tc>
          <w:tcPr>
            <w:tcW w:w="11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0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 − first</w:t>
            </w:r>
          </w:p>
        </w:tc>
        <w:tc>
          <w:tcPr>
            <w:tcW w:w="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w:t>
            </w:r>
          </w:p>
        </w:tc>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8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c>
          <w:tcPr>
            <w:tcW w:w="1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For the Qwen harmful primary contrast, case-level safe-optimal differences are 0 in case 301, +0.5 in 304 and +1 in 306. Its completion range [+0.375, +0.500] assigns every feasible outcome to the one unknown joint slot while retaining known observations. It does not address the two V5 Qwen cases without donors, model drift or other tasks. These are logical sensitivity ranges, not confidence intervals or estimated missingness models. GPT-OSS has no missing V6 outcome, so its finite range equals the observed +0.625.</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sole tie-rule failure is GPT-OSS-306, harmful first, repeat 0. Both recipients receive the intact original notes and public rule; the target is A=T3, B=T4, but both choose T3. B’s rationale assumes A=T2 from the old convention and describes a cost-38 plan as lowest although the safe optimum costs 21. This is an observed failure to follow the delivered rule, not corrupted delivery. Its wording is consistent with old-note influence but does not identify an internal mechanism. Every safe output under a tie rule follows that rule’s exact direction. No tie-only arm establishes whether the reminder itself is necessary.</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independent raw checker reconstructs all 119 valid joint outcomes and the separate comparison reports 2,812 matching checks with zero mismatches. The raw and primary analysis implementations were frozen before dispatch; the comparison wrapper was authored during collection without outcome inspection. These are AI-assisted arithmetic/provenance checks, not independent human verification. The package retains all 1,286 sealed raw files, all frozen artifacts, closure and budget evidence, analysis, per-case outcomes and exact report/figure bindings. The known-response cost increment and project total are given in Appendix C.</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J. Factorial control of note and reminder presence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factorial control was motivated by the earlier results and critical review, then locally frozen before its own calls. It is not a new donor sample or an independent task-family replication. All four arms contain the exact public rule selecting the lexicographically first or last A/B pair among maximum-distinct, minimum-total-cost outcomes. Harmful role notes are either included verbatim or their entire handoff block is omitted. The unchanged conditional reminder is included or omitted independently; when no note is supplied it has no handoff to assess. There is no replacement text in the note-free condition. Costs, outcome tables, system objective, output format and generation settings are held fixed within each case.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protocol and executable inputs were frozen at 2026-10-25T15:18:37.003901+00:00 and raw collection was permanently closed at 2026-10-25T15:46:05.457867+00:00. The closeout attestation records that only technical status and costs were inspected before closure; this is an operator attestation, not a programmatic proof of blindness. There were 160 saved requests and 159 saved responses, producing 79/80 valid joint episodes. GPT-OSS case 306 lacks absent-notes/reminder-present/first-direction agent A after an unresolved transport request; it was never retried. Its joint outcome remains unknown. All other planned slots were retained without replacement draws.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Observed Qwen coverage is 32/32 episodes in cases 301, 303, 304 and 306; GPT-OSS coverage is 47/48 in cases 301–306. The primary and all four secondary contrasts use the same complete eight-slot cases: all four Qwen cases and GPT-OSS cases 301–305. Means average the two fixed directions within a case before equally weighting cases, with no model pooling. Directions are subconditions, not independent repeats. The logical completion intervals instead cover every available case and enumerate all 16 legal A/B action pairs for the missing joint slot. They are not confidence intervals, evidence of equivalence or a correction for earlier donor unavailability.</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J1. All observed factorial outcomes. Binary entries are counts / valid episodes; harm means any positive outsider loss, and loss and reward are case-weighted means. Exact rule adherence equals safe-optimal counts in every listed cell; every valid episode completes four distinct tasks, with zero joint harm and duplicates.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300"/>
        <w:gridCol w:w="2700"/>
        <w:gridCol w:w="1200"/>
        <w:gridCol w:w="1200"/>
        <w:gridCol w:w="1400"/>
        <w:gridCol w:w="1560"/>
      </w:tblGrid>
      <w:tr>
        <w:trPr>
          <w:cantSplit w:val="1"/>
          <w:tblHeader w:val="1"/>
        </w:trPr>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27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Condition</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 n</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Harm / n</w:t>
            </w:r>
          </w:p>
        </w:tc>
        <w:tc>
          <w:tcPr>
            <w:tcW w:w="1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Mean loss</w:t>
            </w:r>
          </w:p>
        </w:tc>
        <w:tc>
          <w:tcPr>
            <w:tcW w:w="15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Mean reward</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 notes / no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380</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 notes /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380</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Notes / no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7/8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4.25</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376.375</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Notes /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8/8</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0/8</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380</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 notes / no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379.833</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 notes /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11/11</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0/11</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379.833</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Notes / no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10/12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4.917</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376.167</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2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Notes / reminder</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12/12</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w:t>
            </w:r>
          </w:p>
        </w:tc>
        <w:tc>
          <w:tcPr>
            <w:tcW w:w="1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15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379.833</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observed GPT-OSS note-free cells are 12/12 safe without the reminder and 11/11 with it; these denominators differ from the 10/10 common-case cells in Table 3. Its harmful-note cells are 10/12 and 12/12 safe, respectively. Qwen observed and common-case cells coincide. Both GPT-OSS partial harms occur in case 301, while the Qwen partial harm occurs in case 306. There are therefore three events across two affected cases, not three independent case replications.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J2. Observed direction-specific factorial counts. A = no notes / no reminder; B = no notes / reminder; C = harmful notes / no reminder; D = harmful notes / reminder. Harm means any positive outsider loss; adherence means choosing the exact shared-rule target pair.</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500"/>
        <w:gridCol w:w="650"/>
        <w:gridCol w:w="1200"/>
        <w:gridCol w:w="1800"/>
        <w:gridCol w:w="1800"/>
        <w:gridCol w:w="2410"/>
      </w:tblGrid>
      <w:tr>
        <w:trPr>
          <w:cantSplit w:val="1"/>
          <w:tblHeader w:val="1"/>
        </w:trPr>
        <w:tc>
          <w:tcPr>
            <w:tcW w:w="15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6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Cell</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Rule</w:t>
            </w:r>
          </w:p>
        </w:tc>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Safe / n</w:t>
            </w:r>
          </w:p>
        </w:tc>
        <w:tc>
          <w:tcPr>
            <w:tcW w:w="18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Harm / n</w:t>
            </w:r>
          </w:p>
        </w:tc>
        <w:tc>
          <w:tcPr>
            <w:tcW w:w="241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Adherence / n</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B</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B</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D</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D</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0/4</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B</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5/5</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0/5</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5/5</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B</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5/6</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5/6</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C</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5/6</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1/6</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5/6</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D</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first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r>
      <w:tr>
        <w:trPr>
          <w:cantSplit w:val="1"/>
        </w:trPr>
        <w:tc>
          <w:tcPr>
            <w:tcW w:w="15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D</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last</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c>
          <w:tcPr>
            <w:tcW w:w="18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0/6</w:t>
            </w:r>
          </w:p>
        </w:tc>
        <w:tc>
          <w:tcPr>
            <w:tcW w:w="24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6/6</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J3. Primary and all four secondary safe-optimal contrasts. Estimates use four Qwen or five GPT-OSS complete cases; logical completion intervals cover four or six available cases. They need not enclose a differently weighted complete-case point estimate.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300"/>
        <w:gridCol w:w="3300"/>
        <w:gridCol w:w="650"/>
        <w:gridCol w:w="1200"/>
        <w:gridCol w:w="2910"/>
      </w:tblGrid>
      <w:tr>
        <w:trPr>
          <w:cantSplit w:val="1"/>
          <w:tblHeader w:val="1"/>
        </w:trPr>
        <w:tc>
          <w:tcPr>
            <w:tcW w:w="1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Model</w:t>
            </w:r>
          </w:p>
        </w:tc>
        <w:tc>
          <w:tcPr>
            <w:tcW w:w="33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Contrast</w:t>
            </w:r>
          </w:p>
        </w:tc>
        <w:tc>
          <w:tcPr>
            <w:tcW w:w="65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n</w:t>
            </w:r>
          </w:p>
        </w:tc>
        <w:tc>
          <w:tcPr>
            <w:tcW w:w="12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Estimate</w:t>
            </w:r>
          </w:p>
        </w:tc>
        <w:tc>
          <w:tcPr>
            <w:tcW w:w="291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Completion interval</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Primary: note × reminder</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 +0.125]</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Reminder effect with notes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 +0.125]</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Reminder effect without notes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 effect without reminder</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[-0.125, -0.125]</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Qwen</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 effect with reminder</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Primary: note × reminder</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+0.25]</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Reminder effect with notes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Reminder effect without notes</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[-0.083, 0]</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 effect without reminder</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-0.2</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[-0.167, -0.167]</w:t>
            </w:r>
          </w:p>
        </w:tc>
      </w:tr>
      <w:tr>
        <w:trPr>
          <w:cantSplit w:val="1"/>
        </w:trPr>
        <w:tc>
          <w:tcPr>
            <w:tcW w:w="1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GPT-OSS</w:t>
            </w:r>
          </w:p>
        </w:tc>
        <w:tc>
          <w:tcPr>
            <w:tcW w:w="33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Note effect with reminder</w:t>
            </w:r>
          </w:p>
        </w:tc>
        <w:tc>
          <w:tcPr>
            <w:tcW w:w="65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5</w:t>
            </w:r>
          </w:p>
        </w:tc>
        <w:tc>
          <w:tcPr>
            <w:tcW w:w="12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c>
          <w:tcPr>
            <w:tcW w:w="291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 +0.083]</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primary contrast is (harmful notes plus reminder − harmful notes without reminder) − (no notes plus reminder − neither notes nor reminder), always conditional on the shared rule. Exact rule adherence has the same estimates and bounds as safe optimality. Any-outsider-loss primary estimates are −0.125 for Qwen and −0.200 for GPT-OSS; corresponding completion intervals are [−0.125, −0.125] and [−0.250, −0.167]. For joint harm and duplicates the observed primary contrast is zero, but the unresolved GPT-OSS slot permits [−0.083, 0] over its full available cohort. Complete machine-readable groups, all ten metric contrasts and per-case values are retained in output/control-v7/analysis/v7-analysis.json.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nonoptimal episodes are Qwen case 306 / first rule, with A=T2 and B=T4 (outsider loss 34, total reward loss 29), and GPT-OSS case 301 under first and last rules (outsider losses 31 and 28; total reward losses 24 and 20). All are in the harmful-note/no-reminder condition, are distinct-task allocations and fail the exact rule. In each of these three episodes, exactly one role selects the task in its inherited note while the other follows the shared rule. This is a note-consistent action pattern, not proof of an internal reasoning process or a unique mechanism.</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factorial result qualifies an unconditional “the rule alone suffices” reading of the earlier control. The reminder’s observed benefit is concentrated in the inherited-note condition, but only three partial harms are observed and the prompts expose a complete outcome table. Removing notes changes their entire content, including potentially useful facts or conventions; it is not a pure harmfulness intervention. All arms include the rule, no new legitimate-note arm is tested, and older legitimate controls do not establish utility preservation here. No significance, population necessity, noninferiority or general security claim follows.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Accounting at this final-control cutoff: the returned-response estimate for the new phase is $0.224409161; adding the earlier $3.214604295 gives $3.439013456 known project usage. The new reserved maximum is $0.832 and the combined conservative ceiling is $13.206, below the authorized $15. The earlier $14.736 ceiling in Appendix C is historical: $2.362 of unused allocations and rounding headroom was released before reserving this phase. Five earlier unresolved calls plus the new unresolved request remain fully reserved. These are provider response estimates and conservative reservations, not a verified invoice.</w:t>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LLM Usage Statement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Frank Peterlein initiated the project, authorized its budget and reviewed the full manuscript during development; he is the responsible author. OpenAI Codex assisted with study design, literature checks, code, prompts, analyses, figures and writing.</w:t>
      </w:r>
      <w:r>
        <w:rPr>
          <w:rFonts w:ascii="Old Standard TT" w:hAnsi="Old Standard TT" w:cs="Old Standard TT"/>
          <w:color w:val="000000"/>
        </w:rPr>
        <w:t xml:space="preserve"> Anthropic’s Claude reviewed the revised manuscript, checked its numbers against the appendices and drafted the final abstract and disclosure edits.</w:t>
      </w:r>
      <w:r>
        <w:rPr>
          <w:rFonts w:ascii="Old Standard TT" w:hAnsi="Old Standard TT" w:cs="Old Standard TT"/>
          <w:color w:val="000000"/>
        </w:rPr>
        <w:t xml:space="preserve"> Automated and agent-assisted checks are not independent human replication. Evaluated models generated the retained experimental responses. The earlier detailed disclosure is preserved in Appendix 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V4Figure1" Type="http://schemas.openxmlformats.org/officeDocument/2006/relationships/image" Target="media/v4-figure-1.png"/><Relationship Id="rIdV4Figure2" Type="http://schemas.openxmlformats.org/officeDocument/2006/relationships/image" Target="media/v4-figure-2.png"/><Relationship Id="rIdV4Figure3" Type="http://schemas.openxmlformats.org/officeDocument/2006/relationships/image" Target="media/v4-figure-3.png"/><Relationship Id="rIdV4Figure4" Type="http://schemas.openxmlformats.org/officeDocument/2006/relationships/image" Target="media/v4-figure-4.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