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b/>
          <w:bCs/>
          <w:caps/>
          <w:color w:val="595959"/>
          <w:sz w:val="20"/>
          <w:szCs w:val="20"/>
        </w:rPr>
        <w:t xml:space="preserve">PAYSANDÚ FC — BABY FÚTBOL</w:t>
      </w:r>
    </w:p>
    <w:p>
      <w:pPr>
        <w:spacing w:after="200"/>
      </w:pPr>
      <w:r>
        <w:rPr>
          <w:color w:val="595959"/>
          <w:sz w:val="20"/>
          <w:szCs w:val="20"/>
        </w:rPr>
        <w:t xml:space="preserve">Sistema de Gestión — Propuesta</w:t>
      </w:r>
    </w:p>
    <w:p>
      <w:pPr>
        <w:spacing w:after="100"/>
      </w:pPr>
      <w:r>
        <w:rPr>
          <w:b/>
          <w:bCs/>
          <w:color w:val="1e2a6e"/>
          <w:sz w:val="38"/>
          <w:szCs w:val="38"/>
        </w:rPr>
        <w:t xml:space="preserve">Acceso de familias y protección de datos personales</w:t>
      </w:r>
    </w:p>
    <w:p>
      <w:pPr>
        <w:spacing w:after="500"/>
      </w:pPr>
      <w:r>
        <w:rPr>
          <w:i/>
          <w:iCs/>
          <w:color w:val="595959"/>
          <w:sz w:val="21"/>
          <w:szCs w:val="21"/>
        </w:rPr>
        <w:t xml:space="preserve">Respuesta al planteo realizado por la comisión directiva sobre el tratamiento de datos personales de los jugadores</w:t>
      </w:r>
    </w:p>
    <w:p>
      <w:pPr>
        <w:spacing w:after="60"/>
      </w:pPr>
      <w:r>
        <w:rPr>
          <w:color w:val="444444"/>
          <w:sz w:val="19"/>
          <w:szCs w:val="19"/>
        </w:rPr>
        <w:t xml:space="preserve">Preparado para: Comisión Directiva — Paysandú FC</w:t>
      </w:r>
    </w:p>
    <w:p>
      <w:pPr>
        <w:spacing w:after="60"/>
      </w:pPr>
      <w:r>
        <w:rPr>
          <w:color w:val="444444"/>
          <w:sz w:val="19"/>
          <w:szCs w:val="19"/>
        </w:rPr>
        <w:t xml:space="preserve">Fecha: 10 de septiembre de 2026</w:t>
      </w:r>
    </w:p>
    <w:p>
      <w:pPr>
        <w:spacing w:after="500"/>
      </w:pPr>
      <w:r>
        <w:rPr>
          <w:color w:val="444444"/>
          <w:sz w:val="19"/>
          <w:szCs w:val="19"/>
        </w:rPr>
        <w:t xml:space="preserve">Referencia legal: Ley N.º 18.331 — Protección de Datos Personales y Acción de Habeas Data (Uruguay)</w:t>
      </w:r>
    </w:p>
    <w:p>
      <w:pPr>
        <w:pStyle w:val="Heading1"/>
        <w:pBdr>
          <w:bottom w:val="single" w:color="1e2a6e" w:sz="6" w:space="4"/>
        </w:pBdr>
        <w:spacing w:after="160" w:before="360"/>
      </w:pPr>
      <w:r>
        <w:rPr>
          <w:b/>
          <w:bCs/>
          <w:caps/>
          <w:color w:val="1e2a6e"/>
          <w:sz w:val="26"/>
          <w:szCs w:val="26"/>
        </w:rPr>
        <w:t xml:space="preserve">1. Diagnóstico</w:t>
      </w:r>
    </w:p>
    <w:p>
      <w:pPr>
        <w:spacing w:after="160"/>
      </w:pPr>
      <w:r>
        <w:rPr>
          <w:color w:val="222222"/>
          <w:sz w:val="21"/>
          <w:szCs w:val="21"/>
        </w:rPr>
        <w:t xml:space="preserve">El sistema recolecta hoy, para cada jugador, los siguientes datos: nombre completo, cédula de identidad, fecha de nacimiento, dirección, fotografía, y los datos de contacto del padre/madre/tutor (celular, correo electrónico), además de la información de cuotas y pagos asociada.</w:t>
      </w:r>
    </w:p>
    <w:p>
      <w:pPr>
        <w:spacing w:after="160"/>
      </w:pPr>
      <w:r>
        <w:rPr>
          <w:color w:val="222222"/>
          <w:sz w:val="21"/>
          <w:szCs w:val="21"/>
        </w:rPr>
        <w:t xml:space="preserve">El acceso de las familias funciona de dos maneras:</w:t>
      </w:r>
    </w:p>
    <w:p>
      <w:pPr>
        <w:pStyle w:val="ListParagraph"/>
        <w:numPr>
          <w:ilvl w:val="0"/>
          <w:numId w:val="2"/>
        </w:numPr>
        <w:spacing w:after="100"/>
      </w:pPr>
      <w:r>
        <w:rPr>
          <w:color w:val="222222"/>
          <w:sz w:val="21"/>
          <w:szCs w:val="21"/>
        </w:rPr>
        <w:t xml:space="preserve">Link personal (paysandu-gestion-baby.vercel.app/?id=XXXXXX): entra directo a la ficha de un jugador.</w:t>
      </w:r>
    </w:p>
    <w:p>
      <w:pPr>
        <w:pStyle w:val="ListParagraph"/>
        <w:numPr>
          <w:ilvl w:val="0"/>
          <w:numId w:val="2"/>
        </w:numPr>
        <w:spacing w:after="100"/>
      </w:pPr>
      <w:r>
        <w:rPr>
          <w:color w:val="222222"/>
          <w:sz w:val="21"/>
          <w:szCs w:val="21"/>
        </w:rPr>
        <w:t xml:space="preserve">Búsqueda por categoría (/?acceso=jugadores): la familia elige la categoría, ve la lista de jugadores activos y selecciona el suyo. Si el jugador tiene PIN configurado, lo pide antes de entrar.</w:t>
      </w:r>
    </w:p>
    <w:p>
      <w:pPr>
        <w:spacing w:after="160"/>
      </w:pPr>
      <w:r>
        <w:rPr>
          <w:color w:val="222222"/>
          <w:sz w:val="21"/>
          <w:szCs w:val="21"/>
        </w:rPr>
        <w:t xml:space="preserve">Revisando cómo está construido este segundo camino, encontramos cuatro problemas concretos que hacen que, en la práctica, una familia pueda terminar viendo datos de otro jugador — incluyendo si pagó o no la cuota:</w:t>
      </w:r>
    </w:p>
    <w:p>
      <w:pPr>
        <w:pStyle w:val="ListParagraph"/>
        <w:numPr>
          <w:ilvl w:val="0"/>
          <w:numId w:val="3"/>
        </w:numPr>
        <w:spacing w:after="100"/>
      </w:pPr>
      <w:r>
        <w:rPr>
          <w:color w:val="222222"/>
          <w:sz w:val="21"/>
          <w:szCs w:val="21"/>
        </w:rPr>
        <w:t xml:space="preserve">El PIN no protege nada. Al armar la lista de jugadores de una categoría, el sistema envía al navegador el PIN de cada jugador junto con su nombre. Cualquier persona con conocimientos básicos (el “inspeccionar” del navegador) puede leer el PIN de todos los chicos de esa categoría, no solo el propio.</w:t>
      </w:r>
    </w:p>
    <w:p>
      <w:pPr>
        <w:pStyle w:val="ListParagraph"/>
        <w:numPr>
          <w:ilvl w:val="0"/>
          <w:numId w:val="3"/>
        </w:numPr>
        <w:spacing w:after="100"/>
      </w:pPr>
      <w:r>
        <w:rPr>
          <w:color w:val="222222"/>
          <w:sz w:val="21"/>
          <w:szCs w:val="21"/>
        </w:rPr>
        <w:t xml:space="preserve">El PIN es opcional. Los jugadores que no tienen un PIN cargado quedan con acceso completamente abierto: alcanza con elegir su nombre en la lista para entrar a su ficha.</w:t>
      </w:r>
    </w:p>
    <w:p>
      <w:pPr>
        <w:pStyle w:val="ListParagraph"/>
        <w:numPr>
          <w:ilvl w:val="0"/>
          <w:numId w:val="3"/>
        </w:numPr>
        <w:spacing w:after="100"/>
      </w:pPr>
      <w:r>
        <w:rPr>
          <w:color w:val="222222"/>
          <w:sz w:val="21"/>
          <w:szCs w:val="21"/>
        </w:rPr>
        <w:t xml:space="preserve">La lista pública expone cédula de identidad. Antes de cualquier control de acceso, cualquiera que entre a “búsqueda por categoría” ve el nombre y la cédula de todos los jugadores activos de esa categoría.</w:t>
      </w:r>
    </w:p>
    <w:p>
      <w:pPr>
        <w:pStyle w:val="ListParagraph"/>
        <w:numPr>
          <w:ilvl w:val="0"/>
          <w:numId w:val="3"/>
        </w:numPr>
        <w:spacing w:after="100"/>
      </w:pPr>
      <w:r>
        <w:rPr>
          <w:color w:val="222222"/>
          <w:sz w:val="21"/>
          <w:szCs w:val="21"/>
        </w:rPr>
        <w:t xml:space="preserve">No existe ninguna instancia de consentimiento. Las familias nunca fueron consultadas ni informadas puntualmente sobre el uso que se le da a estos datos, como exige la Ley N.º 18.331.</w:t>
      </w:r>
    </w:p>
    <w:p>
      <w:pPr>
        <w:spacing w:after="160"/>
      </w:pPr>
      <w:r>
        <w:rPr>
          <w:i/>
          <w:iCs/>
          <w:color w:val="595959"/>
          <w:sz w:val="21"/>
          <w:szCs w:val="21"/>
        </w:rPr>
        <w:t xml:space="preserve">Los puntos 1 a 3 explican por qué la protección actual es apenas cosmética. El punto 4 apunta a la preocupación de fondo planteada en el intercambio entre dirigentes: no hay consentimiento para el uso de datos de menores.</w:t>
      </w:r>
    </w:p>
    <w:p>
      <w:pPr>
        <w:pStyle w:val="Heading1"/>
        <w:pBdr>
          <w:bottom w:val="single" w:color="1e2a6e" w:sz="6" w:space="4"/>
        </w:pBdr>
        <w:spacing w:after="160" w:before="360"/>
      </w:pPr>
      <w:r>
        <w:rPr>
          <w:b/>
          <w:bCs/>
          <w:caps/>
          <w:color w:val="1e2a6e"/>
          <w:sz w:val="26"/>
          <w:szCs w:val="26"/>
        </w:rPr>
        <w:t xml:space="preserve">2. Propuesta: acceso de familias</w:t>
      </w:r>
    </w:p>
    <w:p>
      <w:pPr>
        <w:spacing w:after="160"/>
      </w:pPr>
      <w:r>
        <w:rPr>
          <w:color w:val="222222"/>
          <w:sz w:val="21"/>
          <w:szCs w:val="21"/>
        </w:rPr>
        <w:t xml:space="preserve">El objetivo es simple: que cada familia solo pueda ver la información de su propio hijo/a, y que esto se cumpla aunque alguien sepa usar las herramientas del navegador — no solo por diseño de pantalla.</w:t>
      </w:r>
    </w:p>
    <w:p>
      <w:pPr>
        <w:pStyle w:val="Heading2"/>
        <w:spacing w:after="120" w:before="260"/>
      </w:pPr>
      <w:r>
        <w:rPr>
          <w:b/>
          <w:bCs/>
          <w:color w:val="1e2a6e"/>
          <w:sz w:val="23"/>
          <w:szCs w:val="23"/>
        </w:rPr>
        <w:t xml:space="preserve">2.1 Cambios inmediatos (sobre el código actual, sin tocar Supabase)</w:t>
      </w:r>
    </w:p>
    <w:p>
      <w:pPr>
        <w:pStyle w:val="ListParagraph"/>
        <w:numPr>
          <w:ilvl w:val="0"/>
          <w:numId w:val="2"/>
        </w:numPr>
        <w:spacing w:after="100"/>
      </w:pPr>
      <w:r>
        <w:rPr>
          <w:color w:val="222222"/>
          <w:sz w:val="21"/>
          <w:szCs w:val="21"/>
        </w:rPr>
        <w:t xml:space="preserve">Sacar “cédula” y “pin_familia” del listado público por categoría. La lista solo debe traer nombre y foto — lo justo para que la familia reconozca a su hijo/a.</w:t>
      </w:r>
    </w:p>
    <w:p>
      <w:pPr>
        <w:pStyle w:val="ListParagraph"/>
        <w:numPr>
          <w:ilvl w:val="0"/>
          <w:numId w:val="2"/>
        </w:numPr>
        <w:spacing w:after="100"/>
      </w:pPr>
      <w:r>
        <w:rPr>
          <w:color w:val="222222"/>
          <w:sz w:val="21"/>
          <w:szCs w:val="21"/>
        </w:rPr>
        <w:t xml:space="preserve">Hacer obligatorio el PIN familiar para todos los jugadores (hoy es opcional), y pasarlo de 3 a 4 dígitos.</w:t>
      </w:r>
    </w:p>
    <w:p>
      <w:pPr>
        <w:pStyle w:val="ListParagraph"/>
        <w:numPr>
          <w:ilvl w:val="0"/>
          <w:numId w:val="2"/>
        </w:numPr>
        <w:spacing w:after="100"/>
      </w:pPr>
      <w:r>
        <w:rPr>
          <w:color w:val="222222"/>
          <w:sz w:val="21"/>
          <w:szCs w:val="21"/>
        </w:rPr>
        <w:t xml:space="preserve">Mantener el link personal (?id=) como vía principal de acceso — es la más segura, porque el identificador no es adivinable ni se lista en ningún lado — y dejar la búsqueda por categoría como alternativa para quien perdió su link.</w:t>
      </w:r>
    </w:p>
    <w:p>
      <w:pPr>
        <w:pStyle w:val="Heading2"/>
        <w:spacing w:after="120" w:before="260"/>
      </w:pPr>
      <w:r>
        <w:rPr>
          <w:b/>
          <w:bCs/>
          <w:color w:val="1e2a6e"/>
          <w:sz w:val="23"/>
          <w:szCs w:val="23"/>
        </w:rPr>
        <w:t xml:space="preserve">2.2 Cambios de fondo (una vez, desde el panel de Supabase — sin instalar nada)</w:t>
      </w:r>
    </w:p>
    <w:p>
      <w:pPr>
        <w:spacing w:after="160"/>
      </w:pPr>
      <w:r>
        <w:rPr>
          <w:color w:val="222222"/>
          <w:sz w:val="21"/>
          <w:szCs w:val="21"/>
        </w:rPr>
        <w:t xml:space="preserve">Los cambios del punto anterior mejoran la pantalla, pero el PIN se sigue comparando en el navegador. Para que la protección sea real, el control tiene que resolverse del lado del servidor:</w:t>
      </w:r>
    </w:p>
    <w:p>
      <w:pPr>
        <w:pStyle w:val="ListParagraph"/>
        <w:numPr>
          <w:ilvl w:val="0"/>
          <w:numId w:val="2"/>
        </w:numPr>
        <w:spacing w:after="100"/>
      </w:pPr>
      <w:r>
        <w:rPr>
          <w:color w:val="222222"/>
          <w:sz w:val="21"/>
          <w:szCs w:val="21"/>
        </w:rPr>
        <w:t xml:space="preserve">Activar Row Level Security (RLS) en las tablas baby_jugadores, baby_pagos, baby_plan_pagos y baby_formularios_pendientes.</w:t>
      </w:r>
    </w:p>
    <w:p>
      <w:pPr>
        <w:pStyle w:val="ListParagraph"/>
        <w:numPr>
          <w:ilvl w:val="0"/>
          <w:numId w:val="2"/>
        </w:numPr>
        <w:spacing w:after="100"/>
      </w:pPr>
      <w:r>
        <w:rPr>
          <w:color w:val="222222"/>
          <w:sz w:val="21"/>
          <w:szCs w:val="21"/>
        </w:rPr>
        <w:t xml:space="preserve">Publicar, para la lista por categoría, solo una vista con las columnas mínimas (id, nombre, foto) — nunca la tabla completa.</w:t>
      </w:r>
    </w:p>
    <w:p>
      <w:pPr>
        <w:pStyle w:val="ListParagraph"/>
        <w:numPr>
          <w:ilvl w:val="0"/>
          <w:numId w:val="2"/>
        </w:numPr>
        <w:spacing w:after="100"/>
      </w:pPr>
      <w:r>
        <w:rPr>
          <w:color w:val="222222"/>
          <w:sz w:val="21"/>
          <w:szCs w:val="21"/>
        </w:rPr>
        <w:t xml:space="preserve">Crear una función seguridad en Supabase que valide el PIN y devuelva la ficha del jugador (incluidos sus pagos) únicamente si el PIN es correcto — hoy esa validación ocurre solo en el navegador, y los pagos se piden aparte sin volver a chequear nada.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CC" w:sz="4"/>
              <w:left w:val="single" w:color="1e2a6e" w:sz="12"/>
              <w:bottom w:val="single" w:color="D0D0CC" w:sz="4"/>
              <w:right w:val="single" w:color="D0D0CC" w:sz="4"/>
            </w:tcBorders>
            <w:shd w:fill="F2F2F0" w:color="auto" w:val="clear"/>
            <w:tcMar>
              <w:top w:type="dxa" w:w="220"/>
              <w:left w:type="dxa" w:w="260"/>
              <w:bottom w:type="dxa" w:w="220"/>
              <w:right w:type="dxa" w:w="260"/>
            </w:tcMar>
          </w:tcPr>
          <w:p>
            <w:pPr>
              <w:spacing w:after="80"/>
            </w:pPr>
            <w:r>
              <w:rPr>
                <w:b/>
                <w:bCs/>
                <w:caps/>
                <w:color w:val="595959"/>
                <w:sz w:val="18"/>
                <w:szCs w:val="18"/>
              </w:rPr>
              <w:t xml:space="preserve">Punto a verificar antes de avanzar</w:t>
            </w:r>
          </w:p>
          <w:p>
            <w:pPr>
              <w:spacing w:after="120"/>
            </w:pPr>
            <w:r>
              <w:rPr>
                <w:color w:val="1a1a1a"/>
                <w:sz w:val="20"/>
                <w:szCs w:val="20"/>
              </w:rPr>
              <w:t xml:space="preserve">No tenemos forma de confirmar desde acá si RLS está activo hoy en el proyecto de Supabase. Si no lo está, cualquiera que conozca la URL y la clave pública del proyecto (visible en el propio código de la web) puede consultar las tablas directamente, sin pasar por la aplicación. Conviene revisarlo como primer paso, antes de cualquier otro cambio.</w:t>
            </w:r>
          </w:p>
        </w:tc>
      </w:tr>
    </w:tbl>
    <w:p>
      <w:pPr>
        <w:spacing w:after="160"/>
      </w:pPr>
      <w:r>
        <w:rPr>
          <w:color w:val="222222"/>
          <w:sz w:val="21"/>
          <w:szCs w:val="21"/>
        </w:rPr>
        <w:t xml:space="preserve">Con estos cambios aplicados, aunque alguien intente entrar por afuera de la aplicación (por ejemplo, llamando directamente a Supabase), no va a poder leer datos ni pagos de un jugador que no sea el suyo.</w:t>
      </w:r>
    </w:p>
    <w:p>
      <w:pPr>
        <w:pStyle w:val="Heading1"/>
        <w:pBdr>
          <w:bottom w:val="single" w:color="1e2a6e" w:sz="6" w:space="4"/>
        </w:pBdr>
        <w:spacing w:after="160" w:before="360"/>
      </w:pPr>
      <w:r>
        <w:rPr>
          <w:b/>
          <w:bCs/>
          <w:caps/>
          <w:color w:val="1e2a6e"/>
          <w:sz w:val="26"/>
          <w:szCs w:val="26"/>
        </w:rPr>
        <w:t xml:space="preserve">3. Consentimiento para el uso de datos</w:t>
      </w:r>
    </w:p>
    <w:p>
      <w:pPr>
        <w:spacing w:after="160"/>
      </w:pPr>
      <w:r>
        <w:rPr>
          <w:color w:val="222222"/>
          <w:sz w:val="21"/>
          <w:szCs w:val="21"/>
        </w:rPr>
        <w:t xml:space="preserve">La Ley N.º 18.331 exige informar a los titulares (en este caso, a través del padre/madre/tutor, por tratarse de menores) qué datos se recaban, para qué se usan y cuáles son sus derechos, y contar con su consentimiento. Proponemos el siguiente texto, y un mecanismo simple para dejar registrada la aceptación.</w:t>
      </w:r>
    </w:p>
    <w:p>
      <w:pPr>
        <w:pStyle w:val="Heading2"/>
        <w:spacing w:after="120" w:before="260"/>
      </w:pPr>
      <w:r>
        <w:rPr>
          <w:b/>
          <w:bCs/>
          <w:color w:val="1e2a6e"/>
          <w:sz w:val="23"/>
          <w:szCs w:val="23"/>
        </w:rPr>
        <w:t xml:space="preserve">3.1 Texto de consentimiento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CC" w:sz="4"/>
              <w:left w:val="single" w:color="1e2a6e" w:sz="12"/>
              <w:bottom w:val="single" w:color="D0D0CC" w:sz="4"/>
              <w:right w:val="single" w:color="D0D0CC" w:sz="4"/>
            </w:tcBorders>
            <w:shd w:fill="F2F2F0" w:color="auto" w:val="clear"/>
            <w:tcMar>
              <w:top w:type="dxa" w:w="220"/>
              <w:left w:type="dxa" w:w="260"/>
              <w:bottom w:type="dxa" w:w="220"/>
              <w:right w:type="dxa" w:w="260"/>
            </w:tcMar>
          </w:tcPr>
          <w:p>
            <w:pPr>
              <w:spacing w:after="160"/>
            </w:pPr>
            <w:r>
              <w:rPr>
                <w:b/>
                <w:bCs/>
                <w:color w:val="1a1a1a"/>
                <w:sz w:val="20"/>
                <w:szCs w:val="20"/>
              </w:rPr>
              <w:t xml:space="preserve">CONSENTIMIENTO PARA EL TRATAMIENTO DE DATOS PERSONALES</w:t>
            </w:r>
          </w:p>
          <w:p>
            <w:pPr>
              <w:spacing w:after="200"/>
            </w:pPr>
            <w:r>
              <w:rPr>
                <w:i/>
                <w:iCs/>
                <w:color w:val="1a1a1a"/>
                <w:sz w:val="20"/>
                <w:szCs w:val="20"/>
              </w:rPr>
              <w:t xml:space="preserve">Paysandú Fútbol Club — Baby Fútbol</w:t>
            </w:r>
          </w:p>
          <w:p>
            <w:pPr>
              <w:spacing w:after="120"/>
            </w:pPr>
            <w:r>
              <w:rPr>
                <w:color w:val="1a1a1a"/>
                <w:sz w:val="20"/>
                <w:szCs w:val="20"/>
              </w:rPr>
              <w:t xml:space="preserve">De acuerdo con la Ley N.º 18.331 de Protección de Datos Personales, Paysandú FC informa y solicita su consentimiento para el tratamiento de los datos personales del jugador/a que se registra en el club.</w:t>
            </w:r>
          </w:p>
          <w:p>
            <w:pPr>
              <w:spacing w:after="120"/>
            </w:pPr>
            <w:r>
              <w:rPr>
                <w:color w:val="1a1a1a"/>
                <w:sz w:val="20"/>
                <w:szCs w:val="20"/>
              </w:rPr>
              <w:t xml:space="preserve">Datos que se recaban: nombre completo, cédula de identidad, fecha de nacimiento, dirección, fotografía, y los datos de contacto del padre/madre/tutor (celular y correo electrónico), junto con la información de cuotas y pagos asociada.</w:t>
            </w:r>
          </w:p>
          <w:p>
            <w:pPr>
              <w:spacing w:after="120"/>
            </w:pPr>
            <w:r>
              <w:rPr>
                <w:color w:val="1a1a1a"/>
                <w:sz w:val="20"/>
                <w:szCs w:val="20"/>
              </w:rPr>
              <w:t xml:space="preserve">Finalidad: estos datos se utilizan exclusivamente para la gestión administrativa del club — registro de jugadores, comunicación con las familias y control de cuotas — y no se ceden a terceros ni se usan con fines distintos a los aquí descriptos.</w:t>
            </w:r>
          </w:p>
          <w:p>
            <w:pPr>
              <w:spacing w:after="120"/>
            </w:pPr>
            <w:r>
              <w:rPr>
                <w:color w:val="1a1a1a"/>
                <w:sz w:val="20"/>
                <w:szCs w:val="20"/>
              </w:rPr>
              <w:t xml:space="preserve">Responsable y seguridad: Paysandú FC es responsable de esta base de datos, adopta medidas razonables para resguardarla, y la conserva únicamente mientras el jugador/a permanezca vinculado al club.</w:t>
            </w:r>
          </w:p>
          <w:p>
            <w:pPr>
              <w:spacing w:after="120"/>
            </w:pPr>
            <w:r>
              <w:rPr>
                <w:color w:val="1a1a1a"/>
                <w:sz w:val="20"/>
                <w:szCs w:val="20"/>
              </w:rPr>
              <w:t xml:space="preserve">Derechos ARCO: en cualquier momento usted puede solicitar el acceso, la rectificación, la actualización o la supresión de estos datos, escribiendo al club. Estos datos podrán registrarse ante la Unidad Reguladora y de Control de Datos Personales (URCDP), ante quien también puede presentar reclamos.</w:t>
            </w:r>
          </w:p>
          <w:p>
            <w:pPr>
              <w:spacing w:after="120"/>
            </w:pPr>
            <w:r>
              <w:rPr>
                <w:color w:val="1a1a1a"/>
                <w:sz w:val="20"/>
                <w:szCs w:val="20"/>
              </w:rPr>
              <w:t xml:space="preserve">Al marcar “Acepto”, el padre/madre/tutor declara haber leído esta información y presta su consentimiento libre, expreso e informado para el tratamiento de los datos personales del jugador/a en los términos aquí descriptos.</w:t>
            </w:r>
          </w:p>
          <w:p>
            <w:pPr>
              <w:spacing w:after="0"/>
            </w:pPr>
            <w:r>
              <w:rPr>
                <w:b/>
                <w:bCs/>
                <w:color w:val="1a1a1a"/>
                <w:sz w:val="20"/>
                <w:szCs w:val="20"/>
              </w:rPr>
              <w:t xml:space="preserve">☐  Acepto el tratamiento de los datos personales en los términos descriptos.</w:t>
            </w:r>
          </w:p>
        </w:tc>
      </w:tr>
    </w:tbl>
    <w:p>
      <w:pPr>
        <w:pStyle w:val="Heading2"/>
        <w:spacing w:after="120" w:before="260"/>
      </w:pPr>
      <w:r>
        <w:rPr>
          <w:b/>
          <w:bCs/>
          <w:color w:val="1e2a6e"/>
          <w:sz w:val="23"/>
          <w:szCs w:val="23"/>
        </w:rPr>
        <w:t xml:space="preserve">3.2 Cómo queda guardada la aceptación</w:t>
      </w:r>
    </w:p>
    <w:p>
      <w:pPr>
        <w:pStyle w:val="ListParagraph"/>
        <w:numPr>
          <w:ilvl w:val="0"/>
          <w:numId w:val="2"/>
        </w:numPr>
        <w:spacing w:after="100"/>
      </w:pPr>
      <w:r>
        <w:rPr>
          <w:color w:val="222222"/>
          <w:sz w:val="21"/>
          <w:szCs w:val="21"/>
        </w:rPr>
        <w:t xml:space="preserve">Altas nuevas: el formulario público de alta incorpora este texto y el casillero “Acepto” como campo obligatorio, junto a los demás datos del jugador.</w:t>
      </w:r>
    </w:p>
    <w:p>
      <w:pPr>
        <w:pStyle w:val="ListParagraph"/>
        <w:numPr>
          <w:ilvl w:val="0"/>
          <w:numId w:val="2"/>
        </w:numPr>
        <w:spacing w:after="100"/>
      </w:pPr>
      <w:r>
        <w:rPr>
          <w:color w:val="222222"/>
          <w:sz w:val="21"/>
          <w:szCs w:val="21"/>
        </w:rPr>
        <w:t xml:space="preserve">Jugadores ya registrados: la primera vez que la familia entra (por link o por PIN), ve esta pantalla antes de acceder a la ficha; hasta que no acepta, no puede continuar.</w:t>
      </w:r>
    </w:p>
    <w:p>
      <w:pPr>
        <w:pStyle w:val="ListParagraph"/>
        <w:numPr>
          <w:ilvl w:val="0"/>
          <w:numId w:val="2"/>
        </w:numPr>
        <w:spacing w:after="100"/>
      </w:pPr>
      <w:r>
        <w:rPr>
          <w:color w:val="222222"/>
          <w:sz w:val="21"/>
          <w:szCs w:val="21"/>
        </w:rPr>
        <w:t xml:space="preserve">En ambos casos se guarda: quién aceptó, fecha y hora, y la versión del texto aceptado — así queda una constancia verificable, no solo un casillero tildado en la pantalla.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CC" w:sz="4"/>
              <w:left w:val="single" w:color="1e2a6e" w:sz="12"/>
              <w:bottom w:val="single" w:color="D0D0CC" w:sz="4"/>
              <w:right w:val="single" w:color="D0D0CC" w:sz="4"/>
            </w:tcBorders>
            <w:shd w:fill="F2F2F0" w:color="auto" w:val="clear"/>
            <w:tcMar>
              <w:top w:type="dxa" w:w="220"/>
              <w:left w:type="dxa" w:w="260"/>
              <w:bottom w:type="dxa" w:w="220"/>
              <w:right w:type="dxa" w:w="260"/>
            </w:tcMar>
          </w:tcPr>
          <w:p>
            <w:pPr>
              <w:spacing w:after="80"/>
            </w:pPr>
            <w:r>
              <w:rPr>
                <w:b/>
                <w:bCs/>
                <w:caps/>
                <w:color w:val="595959"/>
                <w:sz w:val="18"/>
                <w:szCs w:val="18"/>
              </w:rPr>
              <w:t xml:space="preserve">Cambio técnico necesario</w:t>
            </w:r>
          </w:p>
          <w:p>
            <w:pPr>
              <w:spacing w:after="120"/>
            </w:pPr>
            <w:r>
              <w:rPr>
                <w:color w:val="1a1a1a"/>
                <w:sz w:val="20"/>
                <w:szCs w:val="20"/>
              </w:rPr>
              <w:t xml:space="preserve">Agregar tres columnas a baby_jugadores: consentimiento_aceptado (boolean), consentimiento_fecha (timestamp) y consentimiento_version (texto). Es un ALTER TABLE, del mismo tipo que ya se usó antes para foto_url en baby_pagos — se ejecuta una sola vez desde el editor SQL de Supabase.</w:t>
            </w:r>
          </w:p>
        </w:tc>
      </w:tr>
    </w:tbl>
    <w:p>
      <w:pPr>
        <w:pStyle w:val="Heading1"/>
        <w:pBdr>
          <w:bottom w:val="single" w:color="1e2a6e" w:sz="6" w:space="4"/>
        </w:pBdr>
        <w:spacing w:after="160" w:before="360"/>
      </w:pPr>
      <w:r>
        <w:rPr>
          <w:b/>
          <w:bCs/>
          <w:caps/>
          <w:color w:val="1e2a6e"/>
          <w:sz w:val="26"/>
          <w:szCs w:val="26"/>
        </w:rPr>
        <w:t xml:space="preserve">4. Comunicación a las familias</w:t>
      </w:r>
    </w:p>
    <w:p>
      <w:pPr>
        <w:spacing w:after="160"/>
      </w:pPr>
      <w:r>
        <w:rPr>
          <w:color w:val="222222"/>
          <w:sz w:val="21"/>
          <w:szCs w:val="21"/>
        </w:rPr>
        <w:t xml:space="preserve">Texto sugerido para enviar por WhatsApp o correo a las familias, una vez que los cambios estén implementados (o al anunciarlos con anticipación).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CC" w:sz="4"/>
              <w:left w:val="single" w:color="1e2a6e" w:sz="12"/>
              <w:bottom w:val="single" w:color="D0D0CC" w:sz="4"/>
              <w:right w:val="single" w:color="D0D0CC" w:sz="4"/>
            </w:tcBorders>
            <w:shd w:fill="F2F2F0" w:color="auto" w:val="clear"/>
            <w:tcMar>
              <w:top w:type="dxa" w:w="220"/>
              <w:left w:type="dxa" w:w="260"/>
              <w:bottom w:type="dxa" w:w="220"/>
              <w:right w:type="dxa" w:w="260"/>
            </w:tcMar>
          </w:tcPr>
          <w:p>
            <w:pPr>
              <w:spacing w:after="160"/>
            </w:pPr>
            <w:r>
              <w:rPr>
                <w:color w:val="1a1a1a"/>
                <w:sz w:val="20"/>
                <w:szCs w:val="20"/>
              </w:rPr>
              <w:t xml:space="preserve">Estimadas familias:</w:t>
            </w:r>
          </w:p>
          <w:p>
            <w:pPr>
              <w:spacing w:after="120"/>
            </w:pPr>
            <w:r>
              <w:rPr>
                <w:color w:val="1a1a1a"/>
                <w:sz w:val="20"/>
                <w:szCs w:val="20"/>
              </w:rPr>
              <w:t xml:space="preserve">Les escribimos para contarles que estamos actualizando el sistema de registro y pago de cuotas del Baby Fútbol de Paysandú FC.</w:t>
            </w:r>
          </w:p>
          <w:p>
            <w:pPr>
              <w:spacing w:after="120"/>
            </w:pPr>
            <w:r>
              <w:rPr>
                <w:color w:val="1a1a1a"/>
                <w:sz w:val="20"/>
                <w:szCs w:val="20"/>
              </w:rPr>
              <w:t xml:space="preserve">A partir de estos cambios:</w:t>
            </w:r>
          </w:p>
          <w:p>
            <w:pPr>
              <w:spacing w:after="100"/>
            </w:pPr>
            <w:r>
              <w:rPr>
                <w:color w:val="1a1a1a"/>
                <w:sz w:val="20"/>
                <w:szCs w:val="20"/>
              </w:rPr>
              <w:t xml:space="preserve">•  Cada familia va a acceder únicamente a la información de su hijo/a, con un acceso más seguro que el actual.</w:t>
            </w:r>
          </w:p>
          <w:p>
            <w:pPr>
              <w:spacing w:after="100"/>
            </w:pPr>
            <w:r>
              <w:rPr>
                <w:color w:val="1a1a1a"/>
                <w:sz w:val="20"/>
                <w:szCs w:val="20"/>
              </w:rPr>
              <w:t xml:space="preserve">•  Vamos a pedirles que acepten un breve texto de consentimiento para el uso de los datos que ya nos brindaron (nombre, cédula, fecha de nacimiento, contacto y foto), conforme a la Ley de Protección de Datos Personales (N.º 18.331).</w:t>
            </w:r>
          </w:p>
          <w:p>
            <w:pPr>
              <w:spacing w:after="160"/>
            </w:pPr>
            <w:r>
              <w:rPr>
                <w:color w:val="1a1a1a"/>
                <w:sz w:val="20"/>
                <w:szCs w:val="20"/>
              </w:rPr>
              <w:t xml:space="preserve">•  La próxima vez que ingresen al sistema con su link o con el buscador por categoría, van a ver esta pantalla de aceptación antes de continuar.</w:t>
            </w:r>
          </w:p>
          <w:p>
            <w:pPr>
              <w:spacing w:after="120"/>
            </w:pPr>
            <w:r>
              <w:rPr>
                <w:color w:val="1a1a1a"/>
                <w:sz w:val="20"/>
                <w:szCs w:val="20"/>
              </w:rPr>
              <w:t xml:space="preserve">Estos cambios responden a una inquietud planteada por la propia comisión directiva, y buscan que el manejo de la información de los chicos sea más responsable y transparente.</w:t>
            </w:r>
          </w:p>
          <w:p>
            <w:pPr>
              <w:spacing w:after="120"/>
            </w:pPr>
            <w:r>
              <w:rPr>
                <w:color w:val="1a1a1a"/>
                <w:sz w:val="20"/>
                <w:szCs w:val="20"/>
              </w:rPr>
              <w:t xml:space="preserve">Cualquier consulta, estamos a disposición.</w:t>
            </w:r>
          </w:p>
          <w:p>
            <w:pPr>
              <w:spacing w:after="0"/>
            </w:pPr>
            <w:r>
              <w:rPr>
                <w:b/>
                <w:bCs/>
                <w:color w:val="1a1a1a"/>
                <w:sz w:val="20"/>
                <w:szCs w:val="20"/>
              </w:rPr>
              <w:t xml:space="preserve">Comisión Directiva — Paysandú FC</w:t>
            </w:r>
          </w:p>
        </w:tc>
      </w:tr>
    </w:tbl>
    <w:p>
      <w:pPr>
        <w:pStyle w:val="Heading1"/>
        <w:pBdr>
          <w:bottom w:val="single" w:color="1e2a6e" w:sz="6" w:space="4"/>
        </w:pBdr>
        <w:spacing w:after="160" w:before="360"/>
      </w:pPr>
      <w:r>
        <w:rPr>
          <w:b/>
          <w:bCs/>
          <w:caps/>
          <w:color w:val="1e2a6e"/>
          <w:sz w:val="26"/>
          <w:szCs w:val="26"/>
        </w:rPr>
        <w:t xml:space="preserve">5. Próximos pasos</w:t>
      </w:r>
    </w:p>
    <w:p>
      <w:pPr>
        <w:pStyle w:val="ListParagraph"/>
        <w:numPr>
          <w:ilvl w:val="0"/>
          <w:numId w:val="4"/>
        </w:numPr>
        <w:spacing w:after="100"/>
      </w:pPr>
      <w:r>
        <w:rPr>
          <w:color w:val="222222"/>
          <w:sz w:val="21"/>
          <w:szCs w:val="21"/>
        </w:rPr>
        <w:t xml:space="preserve">Verificar el estado de RLS en Supabase (punto 2.2) — define si hay urgencia inmediata o no.</w:t>
      </w:r>
    </w:p>
    <w:p>
      <w:pPr>
        <w:pStyle w:val="ListParagraph"/>
        <w:numPr>
          <w:ilvl w:val="0"/>
          <w:numId w:val="4"/>
        </w:numPr>
        <w:spacing w:after="100"/>
      </w:pPr>
      <w:r>
        <w:rPr>
          <w:color w:val="222222"/>
          <w:sz w:val="21"/>
          <w:szCs w:val="21"/>
        </w:rPr>
        <w:t xml:space="preserve">Aplicar los cambios inmediatos de acceso (2.1) en App.jsx.</w:t>
      </w:r>
    </w:p>
    <w:p>
      <w:pPr>
        <w:pStyle w:val="ListParagraph"/>
        <w:numPr>
          <w:ilvl w:val="0"/>
          <w:numId w:val="4"/>
        </w:numPr>
        <w:spacing w:after="100"/>
      </w:pPr>
      <w:r>
        <w:rPr>
          <w:color w:val="222222"/>
          <w:sz w:val="21"/>
          <w:szCs w:val="21"/>
        </w:rPr>
        <w:t xml:space="preserve">Ejecutar el ALTER TABLE de consentimiento y sumar la pantalla de aceptación (3.2).</w:t>
      </w:r>
    </w:p>
    <w:p>
      <w:pPr>
        <w:pStyle w:val="ListParagraph"/>
        <w:numPr>
          <w:ilvl w:val="0"/>
          <w:numId w:val="4"/>
        </w:numPr>
        <w:spacing w:after="100"/>
      </w:pPr>
      <w:r>
        <w:rPr>
          <w:color w:val="222222"/>
          <w:sz w:val="21"/>
          <w:szCs w:val="21"/>
        </w:rPr>
        <w:t xml:space="preserve">Aplicar RLS y la función de validación de PIN del lado del servidor (2.2).</w:t>
      </w:r>
    </w:p>
    <w:p>
      <w:pPr>
        <w:pStyle w:val="ListParagraph"/>
        <w:numPr>
          <w:ilvl w:val="0"/>
          <w:numId w:val="4"/>
        </w:numPr>
        <w:spacing w:after="100"/>
      </w:pPr>
      <w:r>
        <w:rPr>
          <w:color w:val="222222"/>
          <w:sz w:val="21"/>
          <w:szCs w:val="21"/>
        </w:rPr>
        <w:t xml:space="preserve">Enviar la comunicación a las familias (sección 4) una vez desplegados los cambios.</w:t>
      </w:r>
    </w:p>
    <w:p>
      <w:pPr>
        <w:spacing w:after="160" w:before="200"/>
      </w:pPr>
      <w:r>
        <w:rPr>
          <w:i/>
          <w:iCs/>
          <w:color w:val="595959"/>
          <w:sz w:val="21"/>
          <w:szCs w:val="21"/>
        </w:rPr>
        <w:t xml:space="preserve">Este documento es la propuesta; los cambios de código y de base de datos se implementan en una etapa siguiente, a confirmar contigo.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2026-09-10T14:53:18.245Z</dcterms:created>
  <dcterms:modified xsi:type="dcterms:W3CDTF">2026-09-10T14:53:18.246Z</dcterms:modified>
</cp:coreProperties>
</file>

<file path=docProps/custom.xml><?xml version="1.0" encoding="utf-8"?>
<Properties xmlns="http://schemas.openxmlformats.org/officeDocument/2006/custom-properties" xmlns:vt="http://schemas.openxmlformats.org/officeDocument/2006/docPropsVTypes"/>
</file>