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2DA7B8" w14:textId="77777777" w:rsidR="000F1A7B" w:rsidRDefault="003C4806">
      <w:pPr>
        <w:spacing w:after="40"/>
      </w:pPr>
      <w:r>
        <w:rPr>
          <w:b/>
          <w:bCs/>
          <w:color w:val="E8730B"/>
          <w:spacing w:val="40"/>
        </w:rPr>
        <w:t>HERO ANIMATION CREATIVE DIRECTION</w:t>
      </w:r>
    </w:p>
    <w:p w14:paraId="268825C5" w14:textId="77777777" w:rsidR="000F1A7B" w:rsidRDefault="003C4806">
      <w:pPr>
        <w:spacing w:after="60"/>
      </w:pPr>
      <w:r>
        <w:rPr>
          <w:b/>
          <w:bCs/>
          <w:color w:val="2E4756"/>
          <w:sz w:val="44"/>
          <w:szCs w:val="44"/>
        </w:rPr>
        <w:t>Market Intelligence Launch</w:t>
      </w:r>
    </w:p>
    <w:p w14:paraId="501DCDEF" w14:textId="36D0C3A4" w:rsidR="000F1A7B" w:rsidRDefault="003C4806">
      <w:pPr>
        <w:pBdr>
          <w:bottom w:val="single" w:sz="16" w:space="6" w:color="8DC63F"/>
        </w:pBdr>
        <w:spacing w:after="40"/>
      </w:pPr>
      <w:r>
        <w:rPr>
          <w:color w:val="595959"/>
        </w:rPr>
        <w:t xml:space="preserve">Animated Product Hero + Static </w:t>
      </w:r>
      <w:r w:rsidR="002F5F89">
        <w:rPr>
          <w:color w:val="595959"/>
        </w:rPr>
        <w:t xml:space="preserve">Fallback | </w:t>
      </w:r>
    </w:p>
    <w:p w14:paraId="22721BB9" w14:textId="3B5F8F70" w:rsidR="000F1A7B" w:rsidRDefault="003C4806">
      <w:pPr>
        <w:spacing w:before="200" w:after="20"/>
        <w:rPr>
          <w:color w:val="000000"/>
        </w:rPr>
      </w:pPr>
      <w:r>
        <w:rPr>
          <w:b/>
          <w:bCs/>
          <w:color w:val="2E4756"/>
        </w:rPr>
        <w:t>Deliverable</w:t>
      </w:r>
      <w:r w:rsidR="002F5F89">
        <w:rPr>
          <w:b/>
          <w:bCs/>
          <w:color w:val="2E4756"/>
        </w:rPr>
        <w:t xml:space="preserve">: </w:t>
      </w:r>
      <w:r w:rsidR="002F5F89" w:rsidRPr="002F5F89">
        <w:rPr>
          <w:color w:val="2E4756"/>
        </w:rPr>
        <w:t>An</w:t>
      </w:r>
      <w:r>
        <w:rPr>
          <w:color w:val="000000"/>
        </w:rPr>
        <w:t xml:space="preserve"> animated product hero (video/GIF) and matching static image for the Trio Market Intelligence platform, in CTA and clean variants</w:t>
      </w:r>
    </w:p>
    <w:p w14:paraId="11FD8B22" w14:textId="0D5625F9" w:rsidR="002F5F89" w:rsidRDefault="002F5F89">
      <w:pPr>
        <w:spacing w:before="200" w:after="20"/>
        <w:rPr>
          <w:color w:val="000000"/>
        </w:rPr>
      </w:pPr>
      <w:r>
        <w:rPr>
          <w:b/>
          <w:bCs/>
          <w:color w:val="000000"/>
        </w:rPr>
        <w:t>4</w:t>
      </w:r>
      <w:r w:rsidRPr="002F5F89">
        <w:rPr>
          <w:b/>
          <w:bCs/>
          <w:color w:val="000000"/>
        </w:rPr>
        <w:t xml:space="preserve"> Versions:</w:t>
      </w:r>
      <w:r>
        <w:rPr>
          <w:color w:val="000000"/>
        </w:rPr>
        <w:t xml:space="preserve"> 1 with a CTA for landing page and 1 that’s just a looping GIF for decks, social, etc. </w:t>
      </w:r>
    </w:p>
    <w:p w14:paraId="1679BE39" w14:textId="130AF02F" w:rsidR="002F5F89" w:rsidRDefault="002F5F89" w:rsidP="002F5F89">
      <w:pPr>
        <w:pStyle w:val="ListParagraph"/>
        <w:numPr>
          <w:ilvl w:val="0"/>
          <w:numId w:val="3"/>
        </w:numPr>
        <w:spacing w:before="200" w:after="20"/>
      </w:pPr>
      <w:r>
        <w:t>Animated GIF with CTA</w:t>
      </w:r>
    </w:p>
    <w:p w14:paraId="76B883D9" w14:textId="30FDC44B" w:rsidR="002F5F89" w:rsidRDefault="002F5F89" w:rsidP="002F5F89">
      <w:pPr>
        <w:pStyle w:val="ListParagraph"/>
        <w:numPr>
          <w:ilvl w:val="0"/>
          <w:numId w:val="3"/>
        </w:numPr>
        <w:spacing w:before="200" w:after="20"/>
      </w:pPr>
      <w:r>
        <w:t>Animated GIF no CTA</w:t>
      </w:r>
    </w:p>
    <w:p w14:paraId="11810FF0" w14:textId="5A2971BD" w:rsidR="002F5F89" w:rsidRDefault="002F5F89" w:rsidP="002F5F89">
      <w:pPr>
        <w:pStyle w:val="ListParagraph"/>
        <w:numPr>
          <w:ilvl w:val="0"/>
          <w:numId w:val="3"/>
        </w:numPr>
        <w:spacing w:before="200" w:after="20"/>
      </w:pPr>
      <w:r>
        <w:t>Static Image with CTA</w:t>
      </w:r>
    </w:p>
    <w:p w14:paraId="4AE68EE4" w14:textId="47F5F72C" w:rsidR="002F5F89" w:rsidRDefault="002F5F89" w:rsidP="002F5F89">
      <w:pPr>
        <w:pStyle w:val="ListParagraph"/>
        <w:numPr>
          <w:ilvl w:val="0"/>
          <w:numId w:val="3"/>
        </w:numPr>
        <w:spacing w:before="200" w:after="20"/>
      </w:pPr>
      <w:r>
        <w:t>Static Image no CTA</w:t>
      </w:r>
    </w:p>
    <w:p w14:paraId="3573A134" w14:textId="77777777" w:rsidR="002F5F89" w:rsidRDefault="002F5F89" w:rsidP="002F5F89">
      <w:pPr>
        <w:pStyle w:val="ListParagraph"/>
        <w:spacing w:before="200" w:after="20"/>
        <w:ind w:left="720"/>
      </w:pPr>
    </w:p>
    <w:p w14:paraId="0E9E5024" w14:textId="49EFB885" w:rsidR="000F1A7B" w:rsidRDefault="003C4806">
      <w:pPr>
        <w:spacing w:after="20"/>
      </w:pPr>
      <w:r>
        <w:rPr>
          <w:b/>
          <w:bCs/>
          <w:color w:val="2E4756"/>
        </w:rPr>
        <w:t>Placement</w:t>
      </w:r>
      <w:r w:rsidR="002F5F89">
        <w:rPr>
          <w:b/>
          <w:bCs/>
          <w:color w:val="2E4756"/>
        </w:rPr>
        <w:t>: Landing</w:t>
      </w:r>
      <w:r>
        <w:rPr>
          <w:color w:val="000000"/>
        </w:rPr>
        <w:t xml:space="preserve"> page, email, social, and PowerPoint decks</w:t>
      </w:r>
    </w:p>
    <w:p w14:paraId="6A7536F0" w14:textId="77777777" w:rsidR="000F1A7B" w:rsidRDefault="003C4806">
      <w:pPr>
        <w:pBdr>
          <w:bottom w:val="single" w:sz="12" w:space="4" w:color="1CA6E0"/>
        </w:pBdr>
        <w:spacing w:before="360" w:after="60"/>
      </w:pPr>
      <w:r>
        <w:rPr>
          <w:b/>
          <w:bCs/>
          <w:color w:val="2E4756"/>
          <w:sz w:val="28"/>
          <w:szCs w:val="28"/>
        </w:rPr>
        <w:t>EXECUTIVE SUMMARY</w:t>
      </w:r>
    </w:p>
    <w:p w14:paraId="2DC9886E" w14:textId="77777777" w:rsidR="000F1A7B" w:rsidRDefault="003C4806">
      <w:pPr>
        <w:spacing w:after="80" w:line="276" w:lineRule="auto"/>
      </w:pPr>
      <w:r>
        <w:rPr>
          <w:color w:val="000000"/>
        </w:rPr>
        <w:t>We need an animated product hero that brings the Trio Market Intelligence platform to life — a premium laptop-dashboard animation that conveys “live, data-rich workforce intelligence” at a glance, paired with a static image fallback for mobile and any environment where video or page-load speed is poor.</w:t>
      </w:r>
    </w:p>
    <w:p w14:paraId="2783A560" w14:textId="77777777" w:rsidR="000F1A7B" w:rsidRDefault="003C4806">
      <w:pPr>
        <w:spacing w:after="80" w:line="276" w:lineRule="auto"/>
      </w:pPr>
      <w:r>
        <w:rPr>
          <w:color w:val="000000"/>
        </w:rPr>
        <w:t xml:space="preserve">The visual model is the WorkWise homepage hero (the looping product-UI animation under “Empowering Healthcare Talent Strategy with Dynamic Excellence”): a clean laptop mockup on a branded gradient with an animated dashboard and benefit callouts. We want that same polished, product-forward feel — </w:t>
      </w:r>
      <w:r>
        <w:rPr>
          <w:b/>
          <w:bCs/>
          <w:color w:val="000000"/>
        </w:rPr>
        <w:t>rebranded entirely for Trio</w:t>
      </w:r>
      <w:r>
        <w:rPr>
          <w:color w:val="000000"/>
        </w:rPr>
        <w:t>.</w:t>
      </w:r>
    </w:p>
    <w:p w14:paraId="006C1D4F" w14:textId="77777777" w:rsidR="000F1A7B" w:rsidRDefault="003C4806">
      <w:pPr>
        <w:spacing w:after="80" w:line="276" w:lineRule="auto"/>
        <w:rPr>
          <w:color w:val="000000"/>
        </w:rPr>
      </w:pPr>
      <w:r>
        <w:rPr>
          <w:color w:val="000000"/>
        </w:rPr>
        <w:t>Because this asset will appear across the landing page, email, social, and sales decks, it must be produced in two variants so each placement has the right ending, plus a matching static for each.</w:t>
      </w:r>
    </w:p>
    <w:p w14:paraId="6DFEECFD" w14:textId="77777777" w:rsidR="002F5F89" w:rsidRDefault="002F5F89" w:rsidP="002F5F89">
      <w:pPr>
        <w:spacing w:after="80" w:line="276" w:lineRule="auto"/>
        <w:rPr>
          <w:color w:val="000000"/>
        </w:rPr>
      </w:pPr>
      <w:r w:rsidRPr="006D7F80">
        <w:rPr>
          <w:b/>
          <w:bCs/>
          <w:color w:val="000000"/>
        </w:rPr>
        <w:t>Inspiration:</w:t>
      </w:r>
      <w:r>
        <w:rPr>
          <w:color w:val="000000"/>
        </w:rPr>
        <w:t xml:space="preserve"> The Workwise.ai GIF under their “Empowering Healthcare Talent Strategy” section </w:t>
      </w:r>
    </w:p>
    <w:p w14:paraId="67D6A00B" w14:textId="77777777" w:rsidR="002F5F89" w:rsidRDefault="002F5F89" w:rsidP="002F5F89">
      <w:pPr>
        <w:spacing w:after="80" w:line="276" w:lineRule="auto"/>
      </w:pPr>
      <w:hyperlink r:id="rId5" w:history="1">
        <w:r w:rsidRPr="009F21A3">
          <w:rPr>
            <w:rStyle w:val="Hyperlink"/>
          </w:rPr>
          <w:t>https://www.workwise.ai/</w:t>
        </w:r>
      </w:hyperlink>
      <w:r>
        <w:t xml:space="preserve"> </w:t>
      </w:r>
    </w:p>
    <w:p w14:paraId="2F125977" w14:textId="77777777" w:rsidR="002F5F89" w:rsidRDefault="002F5F89">
      <w:pPr>
        <w:spacing w:after="80" w:line="276" w:lineRule="auto"/>
      </w:pPr>
    </w:p>
    <w:p w14:paraId="4EAD1379" w14:textId="77777777" w:rsidR="000F1A7B" w:rsidRDefault="003C4806">
      <w:pPr>
        <w:pBdr>
          <w:bottom w:val="single" w:sz="12" w:space="4" w:color="1CA6E0"/>
        </w:pBdr>
        <w:spacing w:before="360" w:after="60"/>
      </w:pPr>
      <w:r>
        <w:rPr>
          <w:b/>
          <w:bCs/>
          <w:color w:val="2E4756"/>
          <w:sz w:val="28"/>
          <w:szCs w:val="28"/>
        </w:rPr>
        <w:t>PROJECT OBJECTIVE</w:t>
      </w:r>
    </w:p>
    <w:p w14:paraId="60D0F680" w14:textId="77777777" w:rsidR="000F1A7B" w:rsidRDefault="003C4806">
      <w:pPr>
        <w:spacing w:after="80" w:line="276" w:lineRule="auto"/>
      </w:pPr>
      <w:r>
        <w:rPr>
          <w:color w:val="000000"/>
        </w:rPr>
        <w:t>Produce a coordinated set of hero assets that make Trio Market Intelligence look like a modern, daily-updated intelligence platform — and route demand-generation traffic to a sales demo where a CTA is appropriate.</w:t>
      </w:r>
    </w:p>
    <w:p w14:paraId="4B8D873B" w14:textId="325750B1" w:rsidR="000F1A7B" w:rsidRDefault="003C4806">
      <w:pPr>
        <w:spacing w:before="80" w:after="80"/>
      </w:pPr>
      <w:r>
        <w:rPr>
          <w:b/>
          <w:bCs/>
          <w:color w:val="2E4756"/>
        </w:rPr>
        <w:t>End-Frame CTA (CTA variant)</w:t>
      </w:r>
      <w:r w:rsidR="002F5F89">
        <w:rPr>
          <w:b/>
          <w:bCs/>
          <w:color w:val="2E4756"/>
        </w:rPr>
        <w:t xml:space="preserve">: </w:t>
      </w:r>
      <w:r w:rsidR="002F5F89" w:rsidRPr="002F5F89">
        <w:rPr>
          <w:b/>
          <w:bCs/>
          <w:color w:val="E97132" w:themeColor="accent2"/>
        </w:rPr>
        <w:t>Request</w:t>
      </w:r>
      <w:r w:rsidRPr="002F5F89">
        <w:rPr>
          <w:b/>
          <w:bCs/>
          <w:color w:val="E97132" w:themeColor="accent2"/>
        </w:rPr>
        <w:t xml:space="preserve"> </w:t>
      </w:r>
      <w:r>
        <w:rPr>
          <w:b/>
          <w:bCs/>
          <w:color w:val="E8730B"/>
        </w:rPr>
        <w:t>a Demo</w:t>
      </w:r>
    </w:p>
    <w:p w14:paraId="0F89D082" w14:textId="77777777" w:rsidR="000F1A7B" w:rsidRDefault="003C4806">
      <w:pPr>
        <w:spacing w:before="160" w:after="40"/>
      </w:pPr>
      <w:r>
        <w:rPr>
          <w:b/>
          <w:bCs/>
          <w:color w:val="2E4756"/>
        </w:rPr>
        <w:t>Target Audience</w:t>
      </w:r>
    </w:p>
    <w:p w14:paraId="3510B82F" w14:textId="77777777" w:rsidR="000F1A7B" w:rsidRDefault="003C4806">
      <w:pPr>
        <w:pStyle w:val="ListParagraph"/>
        <w:numPr>
          <w:ilvl w:val="0"/>
          <w:numId w:val="2"/>
        </w:numPr>
        <w:spacing w:before="20" w:after="20" w:line="276" w:lineRule="auto"/>
      </w:pPr>
      <w:r>
        <w:rPr>
          <w:color w:val="000000"/>
        </w:rPr>
        <w:t>Healthcare CFOs</w:t>
      </w:r>
    </w:p>
    <w:p w14:paraId="5D76BC50" w14:textId="77777777" w:rsidR="000F1A7B" w:rsidRDefault="003C4806">
      <w:pPr>
        <w:pStyle w:val="ListParagraph"/>
        <w:numPr>
          <w:ilvl w:val="0"/>
          <w:numId w:val="2"/>
        </w:numPr>
        <w:spacing w:before="20" w:after="20" w:line="276" w:lineRule="auto"/>
      </w:pPr>
      <w:r>
        <w:rPr>
          <w:color w:val="000000"/>
        </w:rPr>
        <w:t>Chief Nursing Officers</w:t>
      </w:r>
    </w:p>
    <w:p w14:paraId="2F232FB7" w14:textId="77777777" w:rsidR="000F1A7B" w:rsidRDefault="003C4806">
      <w:pPr>
        <w:pStyle w:val="ListParagraph"/>
        <w:numPr>
          <w:ilvl w:val="0"/>
          <w:numId w:val="2"/>
        </w:numPr>
        <w:spacing w:before="20" w:after="20" w:line="276" w:lineRule="auto"/>
      </w:pPr>
      <w:r>
        <w:rPr>
          <w:color w:val="000000"/>
        </w:rPr>
        <w:lastRenderedPageBreak/>
        <w:t>Workforce, Talent Acquisition, and HR leaders</w:t>
      </w:r>
    </w:p>
    <w:p w14:paraId="73EA5379" w14:textId="77777777" w:rsidR="000F1A7B" w:rsidRDefault="003C4806">
      <w:pPr>
        <w:pStyle w:val="ListParagraph"/>
        <w:numPr>
          <w:ilvl w:val="0"/>
          <w:numId w:val="2"/>
        </w:numPr>
        <w:spacing w:before="20" w:after="20" w:line="276" w:lineRule="auto"/>
      </w:pPr>
      <w:r>
        <w:rPr>
          <w:color w:val="000000"/>
        </w:rPr>
        <w:t>Healthcare Operations leaders</w:t>
      </w:r>
    </w:p>
    <w:p w14:paraId="7F913A8B" w14:textId="77777777" w:rsidR="000F1A7B" w:rsidRDefault="003C4806">
      <w:pPr>
        <w:spacing w:before="160" w:after="40"/>
      </w:pPr>
      <w:r>
        <w:rPr>
          <w:b/>
          <w:bCs/>
          <w:color w:val="2E4756"/>
        </w:rPr>
        <w:t>Tone</w:t>
      </w:r>
    </w:p>
    <w:p w14:paraId="017FF4CA" w14:textId="21E705A8" w:rsidR="000F1A7B" w:rsidRDefault="002F5F89">
      <w:pPr>
        <w:spacing w:after="80" w:line="276" w:lineRule="auto"/>
      </w:pPr>
      <w:r>
        <w:rPr>
          <w:color w:val="000000"/>
        </w:rPr>
        <w:t xml:space="preserve">Premium • Executive </w:t>
      </w:r>
      <w:r w:rsidR="00A406B2">
        <w:rPr>
          <w:color w:val="000000"/>
        </w:rPr>
        <w:t>• Data</w:t>
      </w:r>
      <w:r w:rsidR="003C4806">
        <w:rPr>
          <w:color w:val="000000"/>
        </w:rPr>
        <w:t>-</w:t>
      </w:r>
      <w:r w:rsidR="00A406B2">
        <w:rPr>
          <w:color w:val="000000"/>
        </w:rPr>
        <w:t>driven •</w:t>
      </w:r>
      <w:r w:rsidR="003C4806">
        <w:rPr>
          <w:color w:val="000000"/>
        </w:rPr>
        <w:t xml:space="preserve">  Modern </w:t>
      </w:r>
      <w:r w:rsidR="00A406B2">
        <w:rPr>
          <w:color w:val="000000"/>
        </w:rPr>
        <w:t>SaaS •</w:t>
      </w:r>
      <w:r w:rsidR="003C4806">
        <w:rPr>
          <w:color w:val="000000"/>
        </w:rPr>
        <w:t xml:space="preserve">  Confident</w:t>
      </w:r>
    </w:p>
    <w:p w14:paraId="24DE9A76" w14:textId="3F7A0423" w:rsidR="000F1A7B" w:rsidRDefault="003C4806">
      <w:pPr>
        <w:pBdr>
          <w:bottom w:val="single" w:sz="12" w:space="4" w:color="1CA6E0"/>
        </w:pBdr>
        <w:spacing w:before="360" w:after="60"/>
      </w:pPr>
      <w:r>
        <w:rPr>
          <w:b/>
          <w:bCs/>
          <w:color w:val="2E4756"/>
          <w:sz w:val="28"/>
          <w:szCs w:val="28"/>
        </w:rPr>
        <w:t>DELIVERABLES — FOUR ASSETS</w:t>
      </w:r>
    </w:p>
    <w:p w14:paraId="0AD879BD" w14:textId="77777777" w:rsidR="000F1A7B" w:rsidRDefault="003C4806">
      <w:pPr>
        <w:spacing w:after="80" w:line="276" w:lineRule="auto"/>
      </w:pPr>
      <w:r>
        <w:rPr>
          <w:color w:val="000000"/>
        </w:rPr>
        <w:t>Same core animation and the same dashboard mockup throughout; the variants differ only in how they end and whether a CTA is present.</w:t>
      </w:r>
    </w:p>
    <w:p w14:paraId="2DC2F09C" w14:textId="3AA7FE05" w:rsidR="000F1A7B" w:rsidRDefault="003C4806">
      <w:pPr>
        <w:pBdr>
          <w:bottom w:val="single" w:sz="12" w:space="4" w:color="E8730B"/>
        </w:pBdr>
        <w:spacing w:before="300" w:after="100"/>
      </w:pPr>
      <w:r>
        <w:rPr>
          <w:b/>
          <w:bCs/>
          <w:color w:val="E8730B"/>
          <w:spacing w:val="40"/>
          <w:sz w:val="26"/>
          <w:szCs w:val="26"/>
        </w:rPr>
        <w:t xml:space="preserve">ASSET </w:t>
      </w:r>
      <w:r w:rsidR="002F5F89">
        <w:rPr>
          <w:b/>
          <w:bCs/>
          <w:color w:val="E8730B"/>
          <w:spacing w:val="40"/>
          <w:sz w:val="26"/>
          <w:szCs w:val="26"/>
        </w:rPr>
        <w:t>1 —</w:t>
      </w:r>
      <w:r>
        <w:rPr>
          <w:b/>
          <w:bCs/>
          <w:color w:val="E8730B"/>
          <w:spacing w:val="40"/>
          <w:sz w:val="26"/>
          <w:szCs w:val="26"/>
        </w:rPr>
        <w:t xml:space="preserve"> ANIMATION, CTA VERSION</w:t>
      </w:r>
    </w:p>
    <w:p w14:paraId="2A95618F" w14:textId="77777777" w:rsidR="000F1A7B" w:rsidRDefault="003C4806">
      <w:pPr>
        <w:spacing w:after="80" w:line="276" w:lineRule="auto"/>
      </w:pPr>
      <w:r>
        <w:rPr>
          <w:color w:val="000000"/>
        </w:rPr>
        <w:t>The full animated hero that resolves on a “Request a Demo” end-frame and holds.</w:t>
      </w:r>
    </w:p>
    <w:p w14:paraId="3FCC74B7" w14:textId="77777777" w:rsidR="000F1A7B" w:rsidRDefault="003C4806">
      <w:pPr>
        <w:pStyle w:val="ListParagraph"/>
        <w:numPr>
          <w:ilvl w:val="0"/>
          <w:numId w:val="2"/>
        </w:numPr>
        <w:spacing w:before="20" w:after="20" w:line="276" w:lineRule="auto"/>
      </w:pPr>
      <w:r>
        <w:rPr>
          <w:color w:val="000000"/>
        </w:rPr>
        <w:t>Use: landing page hero, email, paid social</w:t>
      </w:r>
    </w:p>
    <w:p w14:paraId="21A676CC" w14:textId="77777777" w:rsidR="000F1A7B" w:rsidRDefault="003C4806">
      <w:pPr>
        <w:pStyle w:val="ListParagraph"/>
        <w:numPr>
          <w:ilvl w:val="0"/>
          <w:numId w:val="2"/>
        </w:numPr>
        <w:spacing w:before="20" w:after="20" w:line="276" w:lineRule="auto"/>
      </w:pPr>
      <w:r>
        <w:rPr>
          <w:color w:val="000000"/>
        </w:rPr>
        <w:t>Ends on a branded CTA card; does not loop back</w:t>
      </w:r>
    </w:p>
    <w:p w14:paraId="0A2837E5" w14:textId="75D29C10" w:rsidR="000F1A7B" w:rsidRDefault="003C4806">
      <w:pPr>
        <w:pBdr>
          <w:bottom w:val="single" w:sz="12" w:space="4" w:color="E8730B"/>
        </w:pBdr>
        <w:spacing w:before="300" w:after="100"/>
      </w:pPr>
      <w:r>
        <w:rPr>
          <w:b/>
          <w:bCs/>
          <w:color w:val="E8730B"/>
          <w:spacing w:val="40"/>
          <w:sz w:val="26"/>
          <w:szCs w:val="26"/>
        </w:rPr>
        <w:t xml:space="preserve">ASSET </w:t>
      </w:r>
      <w:r w:rsidR="002F5F89">
        <w:rPr>
          <w:b/>
          <w:bCs/>
          <w:color w:val="E8730B"/>
          <w:spacing w:val="40"/>
          <w:sz w:val="26"/>
          <w:szCs w:val="26"/>
        </w:rPr>
        <w:t>2 —</w:t>
      </w:r>
      <w:r>
        <w:rPr>
          <w:b/>
          <w:bCs/>
          <w:color w:val="E8730B"/>
          <w:spacing w:val="40"/>
          <w:sz w:val="26"/>
          <w:szCs w:val="26"/>
        </w:rPr>
        <w:t xml:space="preserve"> ANIMATION, CLEAN VERSION</w:t>
      </w:r>
    </w:p>
    <w:p w14:paraId="43F5001E" w14:textId="77777777" w:rsidR="000F1A7B" w:rsidRDefault="003C4806">
      <w:pPr>
        <w:spacing w:after="80" w:line="276" w:lineRule="auto"/>
      </w:pPr>
      <w:r>
        <w:rPr>
          <w:color w:val="000000"/>
        </w:rPr>
        <w:t>The same animation with no CTA, built to loop seamlessly (last frame flows back into the first).</w:t>
      </w:r>
    </w:p>
    <w:p w14:paraId="29125405" w14:textId="7EAF6F34" w:rsidR="000F1A7B" w:rsidRDefault="003C4806">
      <w:pPr>
        <w:pStyle w:val="ListParagraph"/>
        <w:numPr>
          <w:ilvl w:val="0"/>
          <w:numId w:val="2"/>
        </w:numPr>
        <w:spacing w:before="20" w:after="20" w:line="276" w:lineRule="auto"/>
      </w:pPr>
      <w:r>
        <w:rPr>
          <w:color w:val="000000"/>
        </w:rPr>
        <w:t xml:space="preserve">Use: PowerPoint decks, organic social, any context where a CTA would be redundant or </w:t>
      </w:r>
      <w:r w:rsidR="002F5F89">
        <w:rPr>
          <w:color w:val="000000"/>
        </w:rPr>
        <w:t>off message</w:t>
      </w:r>
    </w:p>
    <w:p w14:paraId="3F2E047B" w14:textId="77777777" w:rsidR="000F1A7B" w:rsidRDefault="003C4806">
      <w:pPr>
        <w:pStyle w:val="ListParagraph"/>
        <w:numPr>
          <w:ilvl w:val="0"/>
          <w:numId w:val="2"/>
        </w:numPr>
        <w:spacing w:before="20" w:after="20" w:line="276" w:lineRule="auto"/>
      </w:pPr>
      <w:r>
        <w:rPr>
          <w:color w:val="000000"/>
        </w:rPr>
        <w:t>Seamless loop; no end-frame, no button</w:t>
      </w:r>
    </w:p>
    <w:p w14:paraId="636EB328" w14:textId="561EDE52" w:rsidR="000F1A7B" w:rsidRDefault="003C4806">
      <w:pPr>
        <w:pBdr>
          <w:bottom w:val="single" w:sz="12" w:space="4" w:color="E8730B"/>
        </w:pBdr>
        <w:spacing w:before="300" w:after="100"/>
      </w:pPr>
      <w:r>
        <w:rPr>
          <w:b/>
          <w:bCs/>
          <w:color w:val="E8730B"/>
          <w:spacing w:val="40"/>
          <w:sz w:val="26"/>
          <w:szCs w:val="26"/>
        </w:rPr>
        <w:t xml:space="preserve">ASSET </w:t>
      </w:r>
      <w:r w:rsidR="002F5F89">
        <w:rPr>
          <w:b/>
          <w:bCs/>
          <w:color w:val="E8730B"/>
          <w:spacing w:val="40"/>
          <w:sz w:val="26"/>
          <w:szCs w:val="26"/>
        </w:rPr>
        <w:t>3 —</w:t>
      </w:r>
      <w:r>
        <w:rPr>
          <w:b/>
          <w:bCs/>
          <w:color w:val="E8730B"/>
          <w:spacing w:val="40"/>
          <w:sz w:val="26"/>
          <w:szCs w:val="26"/>
        </w:rPr>
        <w:t xml:space="preserve"> STATIC, CTA VERSION</w:t>
      </w:r>
    </w:p>
    <w:p w14:paraId="28DBE285" w14:textId="77777777" w:rsidR="000F1A7B" w:rsidRDefault="003C4806">
      <w:pPr>
        <w:spacing w:after="80" w:line="276" w:lineRule="auto"/>
      </w:pPr>
      <w:r>
        <w:rPr>
          <w:color w:val="000000"/>
        </w:rPr>
        <w:t>A single strong frame for mobile / slow-load fallback that mirrors the CTA video.</w:t>
      </w:r>
    </w:p>
    <w:p w14:paraId="168DCBC1" w14:textId="422B1ACA" w:rsidR="000F1A7B" w:rsidRDefault="003C4806">
      <w:pPr>
        <w:pStyle w:val="ListParagraph"/>
        <w:numPr>
          <w:ilvl w:val="0"/>
          <w:numId w:val="2"/>
        </w:numPr>
        <w:spacing w:before="20" w:after="20" w:line="276" w:lineRule="auto"/>
      </w:pPr>
      <w:r>
        <w:rPr>
          <w:color w:val="000000"/>
        </w:rPr>
        <w:t xml:space="preserve">Laptop with the full dashboard visible, one benefit callout shown, and the “Request a Demo” button </w:t>
      </w:r>
      <w:r w:rsidR="002F5F89">
        <w:rPr>
          <w:color w:val="000000"/>
        </w:rPr>
        <w:t>present.</w:t>
      </w:r>
    </w:p>
    <w:p w14:paraId="58CE70DF" w14:textId="5A24F434" w:rsidR="000F1A7B" w:rsidRDefault="003C4806">
      <w:pPr>
        <w:pStyle w:val="ListParagraph"/>
        <w:numPr>
          <w:ilvl w:val="0"/>
          <w:numId w:val="2"/>
        </w:numPr>
        <w:spacing w:before="20" w:after="20" w:line="276" w:lineRule="auto"/>
      </w:pPr>
      <w:r>
        <w:rPr>
          <w:color w:val="000000"/>
        </w:rPr>
        <w:t xml:space="preserve">Must stand on its own — not a mid-animation </w:t>
      </w:r>
      <w:r w:rsidR="002F5F89">
        <w:rPr>
          <w:color w:val="000000"/>
        </w:rPr>
        <w:t>frame.</w:t>
      </w:r>
    </w:p>
    <w:p w14:paraId="02CCF8FA" w14:textId="3F214371" w:rsidR="000F1A7B" w:rsidRDefault="003C4806">
      <w:pPr>
        <w:pBdr>
          <w:bottom w:val="single" w:sz="12" w:space="4" w:color="E8730B"/>
        </w:pBdr>
        <w:spacing w:before="300" w:after="100"/>
      </w:pPr>
      <w:r>
        <w:rPr>
          <w:b/>
          <w:bCs/>
          <w:color w:val="E8730B"/>
          <w:spacing w:val="40"/>
          <w:sz w:val="26"/>
          <w:szCs w:val="26"/>
        </w:rPr>
        <w:t xml:space="preserve">ASSET </w:t>
      </w:r>
      <w:r w:rsidR="002F5F89">
        <w:rPr>
          <w:b/>
          <w:bCs/>
          <w:color w:val="E8730B"/>
          <w:spacing w:val="40"/>
          <w:sz w:val="26"/>
          <w:szCs w:val="26"/>
        </w:rPr>
        <w:t>4 — STATIC</w:t>
      </w:r>
      <w:r>
        <w:rPr>
          <w:b/>
          <w:bCs/>
          <w:color w:val="E8730B"/>
          <w:spacing w:val="40"/>
          <w:sz w:val="26"/>
          <w:szCs w:val="26"/>
        </w:rPr>
        <w:t>, CLEAN VERSION</w:t>
      </w:r>
    </w:p>
    <w:p w14:paraId="0C7839C2" w14:textId="77777777" w:rsidR="000F1A7B" w:rsidRDefault="003C4806">
      <w:pPr>
        <w:spacing w:after="80" w:line="276" w:lineRule="auto"/>
      </w:pPr>
      <w:r>
        <w:rPr>
          <w:color w:val="000000"/>
        </w:rPr>
        <w:t>The same hero frame without the CTA, for decks and social statics.</w:t>
      </w:r>
    </w:p>
    <w:p w14:paraId="7B4C7E06" w14:textId="77777777" w:rsidR="000F1A7B" w:rsidRDefault="003C4806">
      <w:pPr>
        <w:pStyle w:val="ListParagraph"/>
        <w:numPr>
          <w:ilvl w:val="0"/>
          <w:numId w:val="2"/>
        </w:numPr>
        <w:spacing w:before="20" w:after="20" w:line="276" w:lineRule="auto"/>
      </w:pPr>
      <w:r>
        <w:rPr>
          <w:color w:val="000000"/>
        </w:rPr>
        <w:t>Laptop + dashboard + one callout; no button</w:t>
      </w:r>
    </w:p>
    <w:p w14:paraId="408BA601" w14:textId="77777777" w:rsidR="000F1A7B" w:rsidRDefault="003C4806">
      <w:pPr>
        <w:pBdr>
          <w:bottom w:val="single" w:sz="12" w:space="4" w:color="1CA6E0"/>
        </w:pBdr>
        <w:spacing w:before="360" w:after="60"/>
      </w:pPr>
      <w:r>
        <w:rPr>
          <w:b/>
          <w:bCs/>
          <w:color w:val="2E4756"/>
          <w:sz w:val="28"/>
          <w:szCs w:val="28"/>
        </w:rPr>
        <w:t>DASHBOARD MOCKUP DIRECTION</w:t>
      </w:r>
    </w:p>
    <w:p w14:paraId="486C4C67" w14:textId="77777777" w:rsidR="000F1A7B" w:rsidRDefault="003C4806">
      <w:pPr>
        <w:pBdr>
          <w:left w:val="single" w:sz="18" w:space="12" w:color="1CA6E0"/>
        </w:pBdr>
        <w:spacing w:before="40" w:after="80"/>
        <w:ind w:left="360"/>
      </w:pPr>
      <w:r>
        <w:rPr>
          <w:b/>
          <w:bCs/>
          <w:color w:val="2E4756"/>
          <w:sz w:val="24"/>
          <w:szCs w:val="24"/>
        </w:rPr>
        <w:t>Build the dashboard as a stylized, generic representation — not a pixel-accurate reproduction of the live product.</w:t>
      </w:r>
    </w:p>
    <w:p w14:paraId="7DBBF5AA" w14:textId="77777777" w:rsidR="000F1A7B" w:rsidRDefault="003C4806">
      <w:pPr>
        <w:spacing w:after="80" w:line="276" w:lineRule="auto"/>
      </w:pPr>
      <w:r>
        <w:rPr>
          <w:b/>
          <w:bCs/>
          <w:color w:val="000000"/>
        </w:rPr>
        <w:t xml:space="preserve">Important: </w:t>
      </w:r>
      <w:r>
        <w:rPr>
          <w:color w:val="000000"/>
        </w:rPr>
        <w:t>The mockup should evoke the look and feel of Trio Market Intelligence without reproducing real filters, real functionality, or the exact live UI. This keeps us free of any implied UI or functional commitments. Capture the vibe; keep the specifics deliberately illustrative.</w:t>
      </w:r>
    </w:p>
    <w:p w14:paraId="2ECC6A54" w14:textId="77777777" w:rsidR="000F1A7B" w:rsidRDefault="003C4806">
      <w:pPr>
        <w:spacing w:before="160" w:after="40"/>
      </w:pPr>
      <w:r>
        <w:rPr>
          <w:b/>
          <w:bCs/>
          <w:color w:val="2E4756"/>
        </w:rPr>
        <w:t>Capture this feel</w:t>
      </w:r>
    </w:p>
    <w:p w14:paraId="7317DDD2" w14:textId="77777777" w:rsidR="000F1A7B" w:rsidRDefault="003C4806">
      <w:pPr>
        <w:pStyle w:val="ListParagraph"/>
        <w:numPr>
          <w:ilvl w:val="0"/>
          <w:numId w:val="2"/>
        </w:numPr>
        <w:spacing w:before="20" w:after="20" w:line="276" w:lineRule="auto"/>
      </w:pPr>
      <w:r>
        <w:rPr>
          <w:color w:val="000000"/>
        </w:rPr>
        <w:t>Dark-mode premium dashboard aesthetic</w:t>
      </w:r>
    </w:p>
    <w:p w14:paraId="75A5C22A" w14:textId="77777777" w:rsidR="000F1A7B" w:rsidRDefault="003C4806">
      <w:pPr>
        <w:pStyle w:val="ListParagraph"/>
        <w:numPr>
          <w:ilvl w:val="0"/>
          <w:numId w:val="2"/>
        </w:numPr>
        <w:spacing w:before="20" w:after="20" w:line="276" w:lineRule="auto"/>
      </w:pPr>
      <w:r>
        <w:rPr>
          <w:color w:val="000000"/>
        </w:rPr>
        <w:t>Regional U.S. map as the centerpiece, color-blocked by region</w:t>
      </w:r>
    </w:p>
    <w:p w14:paraId="7316AF47" w14:textId="77777777" w:rsidR="000F1A7B" w:rsidRDefault="003C4806">
      <w:pPr>
        <w:pStyle w:val="ListParagraph"/>
        <w:numPr>
          <w:ilvl w:val="0"/>
          <w:numId w:val="2"/>
        </w:numPr>
        <w:spacing w:before="20" w:after="20" w:line="276" w:lineRule="auto"/>
      </w:pPr>
      <w:r>
        <w:rPr>
          <w:color w:val="000000"/>
        </w:rPr>
        <w:lastRenderedPageBreak/>
        <w:t>A large headline rate figure (e.g. a “Current Job Order Bill Rate” card) and a volume figure</w:t>
      </w:r>
    </w:p>
    <w:p w14:paraId="484F37E5" w14:textId="77777777" w:rsidR="000F1A7B" w:rsidRDefault="003C4806">
      <w:pPr>
        <w:pStyle w:val="ListParagraph"/>
        <w:numPr>
          <w:ilvl w:val="0"/>
          <w:numId w:val="2"/>
        </w:numPr>
        <w:spacing w:before="20" w:after="20" w:line="276" w:lineRule="auto"/>
      </w:pPr>
      <w:r>
        <w:rPr>
          <w:color w:val="000000"/>
        </w:rPr>
        <w:t>Supporting modules: a historical trend line, horizontal bar comparisons, and a distribution chart</w:t>
      </w:r>
    </w:p>
    <w:p w14:paraId="222024D5" w14:textId="77777777" w:rsidR="000F1A7B" w:rsidRDefault="003C4806">
      <w:pPr>
        <w:pStyle w:val="ListParagraph"/>
        <w:numPr>
          <w:ilvl w:val="0"/>
          <w:numId w:val="2"/>
        </w:numPr>
        <w:spacing w:before="20" w:after="20" w:line="276" w:lineRule="auto"/>
      </w:pPr>
      <w:r>
        <w:rPr>
          <w:color w:val="000000"/>
        </w:rPr>
        <w:t>Trio brand colors layered over the dark UI (green accents read well, matching the live tool)</w:t>
      </w:r>
    </w:p>
    <w:p w14:paraId="4631D4A6" w14:textId="34D8470D" w:rsidR="000F1A7B" w:rsidRDefault="003C4806">
      <w:pPr>
        <w:spacing w:before="160" w:after="40"/>
      </w:pPr>
      <w:r>
        <w:rPr>
          <w:b/>
          <w:bCs/>
          <w:color w:val="2E4756"/>
        </w:rPr>
        <w:t xml:space="preserve">Keep it </w:t>
      </w:r>
      <w:r w:rsidR="002F5F89">
        <w:rPr>
          <w:b/>
          <w:bCs/>
          <w:color w:val="2E4756"/>
        </w:rPr>
        <w:t>generic.</w:t>
      </w:r>
    </w:p>
    <w:p w14:paraId="00B7B2E9" w14:textId="3117DCFE" w:rsidR="000F1A7B" w:rsidRDefault="003C4806">
      <w:pPr>
        <w:pStyle w:val="ListParagraph"/>
        <w:numPr>
          <w:ilvl w:val="0"/>
          <w:numId w:val="2"/>
        </w:numPr>
        <w:spacing w:before="20" w:after="20" w:line="276" w:lineRule="auto"/>
      </w:pPr>
      <w:r>
        <w:rPr>
          <w:color w:val="000000"/>
        </w:rPr>
        <w:t xml:space="preserve">Use realistic-but-fake numbers in the style of the reference (e.g. “$89.20,” “234K”) — representative, not real </w:t>
      </w:r>
      <w:r w:rsidR="002F5F89">
        <w:rPr>
          <w:color w:val="000000"/>
        </w:rPr>
        <w:t>reporting.</w:t>
      </w:r>
    </w:p>
    <w:p w14:paraId="22573684" w14:textId="77777777" w:rsidR="000F1A7B" w:rsidRDefault="003C4806">
      <w:pPr>
        <w:pStyle w:val="ListParagraph"/>
        <w:numPr>
          <w:ilvl w:val="0"/>
          <w:numId w:val="2"/>
        </w:numPr>
        <w:spacing w:before="20" w:after="20" w:line="276" w:lineRule="auto"/>
      </w:pPr>
      <w:r>
        <w:rPr>
          <w:color w:val="000000"/>
        </w:rPr>
        <w:t>Simplify or relabel filter rows; they should look functional without implying specific features</w:t>
      </w:r>
    </w:p>
    <w:p w14:paraId="06D31D55" w14:textId="77777777" w:rsidR="000F1A7B" w:rsidRDefault="003C4806">
      <w:pPr>
        <w:pStyle w:val="ListParagraph"/>
        <w:numPr>
          <w:ilvl w:val="0"/>
          <w:numId w:val="2"/>
        </w:numPr>
        <w:spacing w:before="20" w:after="20" w:line="276" w:lineRule="auto"/>
      </w:pPr>
      <w:r>
        <w:rPr>
          <w:color w:val="000000"/>
        </w:rPr>
        <w:t>No real customer data, no claims of specific capabilities in the UI itself</w:t>
      </w:r>
    </w:p>
    <w:p w14:paraId="6C18E768" w14:textId="77777777" w:rsidR="000F1A7B" w:rsidRDefault="003C4806">
      <w:pPr>
        <w:spacing w:before="120" w:after="60"/>
      </w:pPr>
      <w:r>
        <w:rPr>
          <w:i/>
          <w:iCs/>
          <w:color w:val="595959"/>
          <w:sz w:val="20"/>
          <w:szCs w:val="20"/>
        </w:rPr>
        <w:t>Visual reference — live dashboard look &amp; feel (do not reproduce exactly):</w:t>
      </w:r>
    </w:p>
    <w:p w14:paraId="127278B5" w14:textId="77777777" w:rsidR="000F1A7B" w:rsidRDefault="003C4806">
      <w:pPr>
        <w:spacing w:before="40" w:after="40"/>
      </w:pPr>
      <w:r>
        <w:rPr>
          <w:noProof/>
        </w:rPr>
        <w:drawing>
          <wp:inline distT="0" distB="0" distL="0" distR="0" wp14:anchorId="43792540" wp14:editId="68A5EC64">
            <wp:extent cx="5195512" cy="3009900"/>
            <wp:effectExtent l="0" t="0" r="571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tretch>
                      <a:fillRect/>
                    </a:stretch>
                  </pic:blipFill>
                  <pic:spPr bwMode="auto">
                    <a:xfrm>
                      <a:off x="0" y="0"/>
                      <a:ext cx="5195512" cy="3009900"/>
                    </a:xfrm>
                    <a:prstGeom prst="rect">
                      <a:avLst/>
                    </a:prstGeom>
                  </pic:spPr>
                </pic:pic>
              </a:graphicData>
            </a:graphic>
          </wp:inline>
        </w:drawing>
      </w:r>
    </w:p>
    <w:p w14:paraId="4C8D739F" w14:textId="77777777" w:rsidR="000F1A7B" w:rsidRDefault="003C4806">
      <w:pPr>
        <w:spacing w:after="80"/>
      </w:pPr>
      <w:r>
        <w:rPr>
          <w:i/>
          <w:iCs/>
          <w:color w:val="595959"/>
          <w:sz w:val="18"/>
          <w:szCs w:val="18"/>
        </w:rPr>
        <w:t>Reference: Trio Market Intelligence (representative screenshot). The branded GIF supplied separately shows the target laptop-and-gradient treatment.</w:t>
      </w:r>
    </w:p>
    <w:p w14:paraId="6999799E" w14:textId="77777777" w:rsidR="000F1A7B" w:rsidRDefault="003C4806">
      <w:pPr>
        <w:pBdr>
          <w:bottom w:val="single" w:sz="12" w:space="4" w:color="1CA6E0"/>
        </w:pBdr>
        <w:spacing w:before="360" w:after="60"/>
      </w:pPr>
      <w:r>
        <w:rPr>
          <w:b/>
          <w:bCs/>
          <w:color w:val="2E4756"/>
          <w:sz w:val="28"/>
          <w:szCs w:val="28"/>
        </w:rPr>
        <w:t>ANIMATION DIRECTION</w:t>
      </w:r>
    </w:p>
    <w:p w14:paraId="3FDBA0F4" w14:textId="77777777" w:rsidR="000F1A7B" w:rsidRDefault="003C4806">
      <w:pPr>
        <w:spacing w:before="160" w:after="40"/>
      </w:pPr>
      <w:r>
        <w:rPr>
          <w:b/>
          <w:bCs/>
          <w:color w:val="2E4756"/>
        </w:rPr>
        <w:t>Sequence</w:t>
      </w:r>
    </w:p>
    <w:p w14:paraId="67BA8276" w14:textId="77777777" w:rsidR="000F1A7B" w:rsidRDefault="003C4806">
      <w:pPr>
        <w:pStyle w:val="ListParagraph"/>
        <w:numPr>
          <w:ilvl w:val="0"/>
          <w:numId w:val="2"/>
        </w:numPr>
        <w:spacing w:before="20" w:after="20" w:line="276" w:lineRule="auto"/>
      </w:pPr>
      <w:r>
        <w:rPr>
          <w:color w:val="000000"/>
        </w:rPr>
        <w:t>Open on the Trio-branded gradient background with the laptop sliding/fading into frame</w:t>
      </w:r>
    </w:p>
    <w:p w14:paraId="792BD031" w14:textId="77777777" w:rsidR="000F1A7B" w:rsidRDefault="003C4806">
      <w:pPr>
        <w:pStyle w:val="ListParagraph"/>
        <w:numPr>
          <w:ilvl w:val="0"/>
          <w:numId w:val="2"/>
        </w:numPr>
        <w:spacing w:before="20" w:after="20" w:line="276" w:lineRule="auto"/>
      </w:pPr>
      <w:r>
        <w:rPr>
          <w:color w:val="000000"/>
        </w:rPr>
        <w:t>Dashboard “boots up” — modules populate in sequence (map fills, rate figure counts up, charts draw in)</w:t>
      </w:r>
    </w:p>
    <w:p w14:paraId="20DED426" w14:textId="77777777" w:rsidR="000F1A7B" w:rsidRDefault="003C4806">
      <w:pPr>
        <w:pStyle w:val="ListParagraph"/>
        <w:numPr>
          <w:ilvl w:val="0"/>
          <w:numId w:val="2"/>
        </w:numPr>
        <w:spacing w:before="20" w:after="20" w:line="276" w:lineRule="auto"/>
      </w:pPr>
      <w:r>
        <w:rPr>
          <w:color w:val="000000"/>
        </w:rPr>
        <w:t>Each benefit callout animates in one at a time, and the dashboard module it names lights up in sync (geography callout → map highlights; “Facility Size” → bar module; “Historical” → trend line) — so it plays like a guided product tour</w:t>
      </w:r>
    </w:p>
    <w:p w14:paraId="1F7D8275" w14:textId="77777777" w:rsidR="000F1A7B" w:rsidRDefault="003C4806">
      <w:pPr>
        <w:pStyle w:val="ListParagraph"/>
        <w:numPr>
          <w:ilvl w:val="0"/>
          <w:numId w:val="2"/>
        </w:numPr>
        <w:spacing w:before="20" w:after="20" w:line="276" w:lineRule="auto"/>
      </w:pPr>
      <w:r>
        <w:rPr>
          <w:color w:val="000000"/>
        </w:rPr>
        <w:t>Use 3 callouts for the short cuts (email/social), 4 for the landing-page hero (see Callout Copy)</w:t>
      </w:r>
    </w:p>
    <w:p w14:paraId="2D029560" w14:textId="77777777" w:rsidR="000F1A7B" w:rsidRDefault="003C4806">
      <w:pPr>
        <w:pStyle w:val="ListParagraph"/>
        <w:numPr>
          <w:ilvl w:val="0"/>
          <w:numId w:val="2"/>
        </w:numPr>
        <w:spacing w:before="20" w:after="20" w:line="276" w:lineRule="auto"/>
      </w:pPr>
      <w:r>
        <w:rPr>
          <w:color w:val="000000"/>
        </w:rPr>
        <w:t>CTA version: resolve on the “Request a Demo” card and hold.  Clean version: ease back to the opening state for a seamless loop</w:t>
      </w:r>
    </w:p>
    <w:p w14:paraId="572959AB" w14:textId="77777777" w:rsidR="000F1A7B" w:rsidRDefault="003C4806">
      <w:pPr>
        <w:spacing w:before="160" w:after="40"/>
      </w:pPr>
      <w:r>
        <w:rPr>
          <w:b/>
          <w:bCs/>
          <w:color w:val="2E4756"/>
        </w:rPr>
        <w:t>Style</w:t>
      </w:r>
    </w:p>
    <w:p w14:paraId="6861CE22" w14:textId="701685F9" w:rsidR="000F1A7B" w:rsidRDefault="003C4806">
      <w:pPr>
        <w:pStyle w:val="ListParagraph"/>
        <w:numPr>
          <w:ilvl w:val="0"/>
          <w:numId w:val="2"/>
        </w:numPr>
        <w:spacing w:before="20" w:after="20" w:line="276" w:lineRule="auto"/>
      </w:pPr>
      <w:r>
        <w:rPr>
          <w:color w:val="000000"/>
        </w:rPr>
        <w:lastRenderedPageBreak/>
        <w:t xml:space="preserve">Smooth, premium motion — nothing frenetic; this should feel like enterprise software, not a banner </w:t>
      </w:r>
      <w:r w:rsidR="002F5F89">
        <w:rPr>
          <w:color w:val="000000"/>
        </w:rPr>
        <w:t>ad.</w:t>
      </w:r>
    </w:p>
    <w:p w14:paraId="0B2DE677" w14:textId="77777777" w:rsidR="000F1A7B" w:rsidRDefault="003C4806">
      <w:pPr>
        <w:pStyle w:val="ListParagraph"/>
        <w:numPr>
          <w:ilvl w:val="0"/>
          <w:numId w:val="2"/>
        </w:numPr>
        <w:spacing w:before="20" w:after="20" w:line="276" w:lineRule="auto"/>
      </w:pPr>
      <w:r>
        <w:rPr>
          <w:color w:val="000000"/>
        </w:rPr>
        <w:t>Consistent Trio branding, typography, and color across both variants</w:t>
      </w:r>
    </w:p>
    <w:p w14:paraId="7AEF1D39" w14:textId="77777777" w:rsidR="000F1A7B" w:rsidRDefault="003C4806">
      <w:pPr>
        <w:pStyle w:val="ListParagraph"/>
        <w:numPr>
          <w:ilvl w:val="0"/>
          <w:numId w:val="2"/>
        </w:numPr>
        <w:spacing w:before="20" w:after="20" w:line="276" w:lineRule="auto"/>
      </w:pPr>
      <w:r>
        <w:rPr>
          <w:color w:val="000000"/>
        </w:rPr>
        <w:t>Laptop-and-gradient treatment matching the supplied branded GIF</w:t>
      </w:r>
    </w:p>
    <w:p w14:paraId="4241042D" w14:textId="41164FAB" w:rsidR="000F1A7B" w:rsidRDefault="003C4806">
      <w:pPr>
        <w:pBdr>
          <w:bottom w:val="single" w:sz="12" w:space="4" w:color="1CA6E0"/>
        </w:pBdr>
        <w:spacing w:before="360" w:after="60"/>
      </w:pPr>
      <w:r>
        <w:rPr>
          <w:b/>
          <w:bCs/>
          <w:color w:val="2E4756"/>
          <w:sz w:val="28"/>
          <w:szCs w:val="28"/>
        </w:rPr>
        <w:t xml:space="preserve">CALLOUT COPY — </w:t>
      </w:r>
    </w:p>
    <w:p w14:paraId="5349FE8D" w14:textId="0FFB3402" w:rsidR="000F1A7B" w:rsidRDefault="003C4806">
      <w:pPr>
        <w:spacing w:after="80" w:line="276" w:lineRule="auto"/>
      </w:pPr>
      <w:r>
        <w:rPr>
          <w:color w:val="000000"/>
        </w:rPr>
        <w:t xml:space="preserve">Each animated callout pairs one of the campaign’s messaging pillars with a concrete, on-screen feature snip — the WorkWise mechanic (e.g. “Your Bill Rate vs. Market Rate by Region”). </w:t>
      </w:r>
    </w:p>
    <w:p w14:paraId="3BB62E98" w14:textId="77777777" w:rsidR="009D2C9B" w:rsidRPr="009D2C9B" w:rsidRDefault="009D2C9B" w:rsidP="009D2C9B">
      <w:pPr>
        <w:pBdr>
          <w:bottom w:val="single" w:sz="12" w:space="4" w:color="1CA6E0"/>
        </w:pBdr>
        <w:spacing w:before="360" w:after="60"/>
        <w:rPr>
          <w:color w:val="2E4756"/>
        </w:rPr>
      </w:pPr>
      <w:r w:rsidRPr="009D2C9B">
        <w:rPr>
          <w:b/>
          <w:bCs/>
          <w:color w:val="2E4756"/>
        </w:rPr>
        <w:t>Beat 1 — The Problem</w:t>
      </w:r>
      <w:r w:rsidRPr="009D2C9B">
        <w:rPr>
          <w:b/>
          <w:bCs/>
          <w:color w:val="2E4756"/>
        </w:rPr>
        <w:br/>
        <w:t>On-screen: "National Averages Hide the Real Rate."</w:t>
      </w:r>
      <w:r w:rsidRPr="009D2C9B">
        <w:rPr>
          <w:b/>
          <w:bCs/>
          <w:color w:val="2E4756"/>
        </w:rPr>
        <w:br/>
      </w:r>
      <w:r w:rsidRPr="009D2C9B">
        <w:rPr>
          <w:color w:val="2E4756"/>
        </w:rPr>
        <w:t>Visual: a flat national average line sits on screen, then the map blooms behind it showing wildly different rates by region. The single line suddenly looks naive against the spread.</w:t>
      </w:r>
    </w:p>
    <w:p w14:paraId="57264A18" w14:textId="77777777" w:rsidR="009D2C9B" w:rsidRPr="009D2C9B" w:rsidRDefault="009D2C9B" w:rsidP="009D2C9B">
      <w:pPr>
        <w:pBdr>
          <w:bottom w:val="single" w:sz="12" w:space="4" w:color="1CA6E0"/>
        </w:pBdr>
        <w:spacing w:before="360" w:after="60"/>
        <w:rPr>
          <w:color w:val="2E4756"/>
        </w:rPr>
      </w:pPr>
      <w:r w:rsidRPr="009D2C9B">
        <w:rPr>
          <w:b/>
          <w:bCs/>
          <w:color w:val="2E4756"/>
        </w:rPr>
        <w:t>Beat 2 — The Need</w:t>
      </w:r>
      <w:r w:rsidRPr="009D2C9B">
        <w:rPr>
          <w:b/>
          <w:bCs/>
          <w:color w:val="2E4756"/>
        </w:rPr>
        <w:br/>
        <w:t>On-screen: "See Rates by Region, State, and Specialty."</w:t>
      </w:r>
      <w:r w:rsidRPr="009D2C9B">
        <w:rPr>
          <w:b/>
          <w:bCs/>
          <w:color w:val="2E4756"/>
        </w:rPr>
        <w:br/>
      </w:r>
      <w:r w:rsidRPr="009D2C9B">
        <w:rPr>
          <w:color w:val="2E4756"/>
        </w:rPr>
        <w:t>Visual: the map drills down. Region highlights, then state, then the facility-size bars resolve underneath. Each layer adds resolution the flat average couldn't show.</w:t>
      </w:r>
    </w:p>
    <w:p w14:paraId="72F5627E" w14:textId="201ACDF4" w:rsidR="009D2C9B" w:rsidRPr="009D2C9B" w:rsidRDefault="009D2C9B" w:rsidP="009D2C9B">
      <w:pPr>
        <w:pBdr>
          <w:bottom w:val="single" w:sz="12" w:space="4" w:color="1CA6E0"/>
        </w:pBdr>
        <w:spacing w:before="360" w:after="60"/>
        <w:rPr>
          <w:color w:val="2E4756"/>
        </w:rPr>
      </w:pPr>
      <w:r w:rsidRPr="009D2C9B">
        <w:rPr>
          <w:b/>
          <w:bCs/>
          <w:color w:val="2E4756"/>
        </w:rPr>
        <w:t>Beat 3 — The Payoff</w:t>
      </w:r>
      <w:r w:rsidRPr="009D2C9B">
        <w:rPr>
          <w:b/>
          <w:bCs/>
          <w:color w:val="2E4756"/>
        </w:rPr>
        <w:br/>
        <w:t>On-screen: "Know If You're Overpaying. See Where Rates Are Headed."</w:t>
      </w:r>
      <w:r w:rsidRPr="009D2C9B">
        <w:rPr>
          <w:b/>
          <w:bCs/>
          <w:color w:val="2E4756"/>
        </w:rPr>
        <w:br/>
      </w:r>
      <w:r w:rsidRPr="009D2C9B">
        <w:rPr>
          <w:color w:val="2E4756"/>
        </w:rPr>
        <w:t xml:space="preserve">Visual: the benchmark card snaps in (your rate vs. market), then the trend line draws forward into the future. </w:t>
      </w:r>
    </w:p>
    <w:p w14:paraId="4AD06B91" w14:textId="77777777" w:rsidR="009D2C9B" w:rsidRPr="009D2C9B" w:rsidRDefault="009D2C9B" w:rsidP="009D2C9B">
      <w:pPr>
        <w:pBdr>
          <w:bottom w:val="single" w:sz="12" w:space="4" w:color="1CA6E0"/>
        </w:pBdr>
        <w:spacing w:before="360" w:after="60"/>
        <w:rPr>
          <w:color w:val="2E4756"/>
        </w:rPr>
      </w:pPr>
      <w:r w:rsidRPr="009D2C9B">
        <w:rPr>
          <w:b/>
          <w:bCs/>
          <w:color w:val="2E4756"/>
        </w:rPr>
        <w:t>End-frame (CTA version)</w:t>
      </w:r>
      <w:r w:rsidRPr="009D2C9B">
        <w:rPr>
          <w:b/>
          <w:bCs/>
          <w:color w:val="2E4756"/>
        </w:rPr>
        <w:br/>
        <w:t>On-screen: "See Your Markets in Trio Market Intelligence." + Request a Demo button.</w:t>
      </w:r>
      <w:r w:rsidRPr="009D2C9B">
        <w:rPr>
          <w:b/>
          <w:bCs/>
          <w:color w:val="2E4756"/>
        </w:rPr>
        <w:br/>
      </w:r>
      <w:r w:rsidRPr="009D2C9B">
        <w:rPr>
          <w:color w:val="2E4756"/>
        </w:rPr>
        <w:t>Visual: dashboard settles into its full composed state and holds.</w:t>
      </w:r>
    </w:p>
    <w:p w14:paraId="6974406F" w14:textId="77777777" w:rsidR="000F1A7B" w:rsidRDefault="003C4806">
      <w:pPr>
        <w:pBdr>
          <w:bottom w:val="single" w:sz="12" w:space="4" w:color="1CA6E0"/>
        </w:pBdr>
        <w:spacing w:before="360" w:after="60"/>
      </w:pPr>
      <w:r>
        <w:rPr>
          <w:b/>
          <w:bCs/>
          <w:color w:val="2E4756"/>
          <w:sz w:val="28"/>
          <w:szCs w:val="28"/>
        </w:rPr>
        <w:t>TECHNICAL SPECIFICATIONS</w:t>
      </w:r>
    </w:p>
    <w:p w14:paraId="2BD8D3D8" w14:textId="77777777" w:rsidR="000F1A7B" w:rsidRDefault="003C4806">
      <w:pPr>
        <w:spacing w:before="160" w:after="40"/>
      </w:pPr>
      <w:r>
        <w:rPr>
          <w:b/>
          <w:bCs/>
          <w:color w:val="2E4756"/>
        </w:rPr>
        <w:t>Video / Animation</w:t>
      </w:r>
    </w:p>
    <w:p w14:paraId="3843C010" w14:textId="77777777" w:rsidR="000F1A7B" w:rsidRDefault="003C4806">
      <w:pPr>
        <w:pStyle w:val="ListParagraph"/>
        <w:numPr>
          <w:ilvl w:val="0"/>
          <w:numId w:val="2"/>
        </w:numPr>
        <w:spacing w:before="20" w:after="20" w:line="276" w:lineRule="auto"/>
      </w:pPr>
      <w:r>
        <w:rPr>
          <w:color w:val="000000"/>
        </w:rPr>
        <w:t>Landing page hero: 16:9, 1920×1080 (provide 1280×720 lightweight cut for fast load)</w:t>
      </w:r>
    </w:p>
    <w:p w14:paraId="1A2C014D" w14:textId="77777777" w:rsidR="000F1A7B" w:rsidRDefault="003C4806">
      <w:pPr>
        <w:pStyle w:val="ListParagraph"/>
        <w:numPr>
          <w:ilvl w:val="0"/>
          <w:numId w:val="2"/>
        </w:numPr>
        <w:spacing w:before="20" w:after="20" w:line="276" w:lineRule="auto"/>
      </w:pPr>
      <w:r>
        <w:rPr>
          <w:color w:val="000000"/>
        </w:rPr>
        <w:t>Email: short GIF or MP4, max ~600–650px wide, small file size; first frame must look complete (many clients block autoplay)</w:t>
      </w:r>
    </w:p>
    <w:p w14:paraId="253AB87F" w14:textId="77777777" w:rsidR="000F1A7B" w:rsidRDefault="003C4806">
      <w:pPr>
        <w:pStyle w:val="ListParagraph"/>
        <w:numPr>
          <w:ilvl w:val="0"/>
          <w:numId w:val="2"/>
        </w:numPr>
        <w:spacing w:before="20" w:after="20" w:line="276" w:lineRule="auto"/>
      </w:pPr>
      <w:r>
        <w:rPr>
          <w:color w:val="000000"/>
        </w:rPr>
        <w:t>Social: 1:1 (1080×1080) and 4:5 (1080×1350) cuts; keep callouts inside safe margins</w:t>
      </w:r>
    </w:p>
    <w:p w14:paraId="0BF79654" w14:textId="77777777" w:rsidR="000F1A7B" w:rsidRDefault="003C4806">
      <w:pPr>
        <w:pStyle w:val="ListParagraph"/>
        <w:numPr>
          <w:ilvl w:val="0"/>
          <w:numId w:val="2"/>
        </w:numPr>
        <w:spacing w:before="20" w:after="20" w:line="276" w:lineRule="auto"/>
      </w:pPr>
      <w:r>
        <w:rPr>
          <w:color w:val="000000"/>
        </w:rPr>
        <w:t>Formats: MP4 (H.264) primary; GIF for email; keep loops short (~8–12s) for file size</w:t>
      </w:r>
    </w:p>
    <w:p w14:paraId="344EB928" w14:textId="77777777" w:rsidR="000F1A7B" w:rsidRDefault="003C4806">
      <w:pPr>
        <w:spacing w:before="160" w:after="40"/>
      </w:pPr>
      <w:r>
        <w:rPr>
          <w:b/>
          <w:bCs/>
          <w:color w:val="2E4756"/>
        </w:rPr>
        <w:t>Static Fallback</w:t>
      </w:r>
    </w:p>
    <w:p w14:paraId="4B22068D" w14:textId="77777777" w:rsidR="000F1A7B" w:rsidRDefault="003C4806">
      <w:pPr>
        <w:pStyle w:val="ListParagraph"/>
        <w:numPr>
          <w:ilvl w:val="0"/>
          <w:numId w:val="2"/>
        </w:numPr>
        <w:spacing w:before="20" w:after="20" w:line="276" w:lineRule="auto"/>
      </w:pPr>
      <w:r>
        <w:rPr>
          <w:color w:val="000000"/>
        </w:rPr>
        <w:t>Match each video’s aspect ratios (16:9, 1:1, 4:5) so the image swaps in cleanly when video can’t load</w:t>
      </w:r>
    </w:p>
    <w:p w14:paraId="736232F3" w14:textId="77777777" w:rsidR="000F1A7B" w:rsidRDefault="003C4806">
      <w:pPr>
        <w:pStyle w:val="ListParagraph"/>
        <w:numPr>
          <w:ilvl w:val="0"/>
          <w:numId w:val="2"/>
        </w:numPr>
        <w:spacing w:before="20" w:after="20" w:line="276" w:lineRule="auto"/>
      </w:pPr>
      <w:r>
        <w:rPr>
          <w:color w:val="000000"/>
        </w:rPr>
        <w:t>PNG or high-quality JPG; mobile-optimized file size</w:t>
      </w:r>
    </w:p>
    <w:p w14:paraId="19498B6B" w14:textId="77777777" w:rsidR="000F1A7B" w:rsidRDefault="003C4806">
      <w:pPr>
        <w:pStyle w:val="ListParagraph"/>
        <w:numPr>
          <w:ilvl w:val="0"/>
          <w:numId w:val="2"/>
        </w:numPr>
        <w:spacing w:before="20" w:after="20" w:line="276" w:lineRule="auto"/>
      </w:pPr>
      <w:r>
        <w:rPr>
          <w:color w:val="000000"/>
        </w:rPr>
        <w:t>CTA static includes the button; clean static omits it</w:t>
      </w:r>
    </w:p>
    <w:sectPr w:rsidR="000F1A7B">
      <w:pgSz w:w="12240" w:h="15840"/>
      <w:pgMar w:top="1080" w:right="1440" w:bottom="108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2929CC"/>
    <w:multiLevelType w:val="hybridMultilevel"/>
    <w:tmpl w:val="470AE0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1716F54"/>
    <w:multiLevelType w:val="hybridMultilevel"/>
    <w:tmpl w:val="8044381E"/>
    <w:lvl w:ilvl="0" w:tplc="2FFC6624">
      <w:start w:val="1"/>
      <w:numFmt w:val="bullet"/>
      <w:lvlText w:val="●"/>
      <w:lvlJc w:val="left"/>
      <w:pPr>
        <w:ind w:left="720" w:hanging="360"/>
      </w:pPr>
    </w:lvl>
    <w:lvl w:ilvl="1" w:tplc="E03AAE98">
      <w:start w:val="1"/>
      <w:numFmt w:val="bullet"/>
      <w:lvlText w:val="○"/>
      <w:lvlJc w:val="left"/>
      <w:pPr>
        <w:ind w:left="1440" w:hanging="360"/>
      </w:pPr>
    </w:lvl>
    <w:lvl w:ilvl="2" w:tplc="7090A17E">
      <w:start w:val="1"/>
      <w:numFmt w:val="bullet"/>
      <w:lvlText w:val="■"/>
      <w:lvlJc w:val="left"/>
      <w:pPr>
        <w:ind w:left="2160" w:hanging="360"/>
      </w:pPr>
    </w:lvl>
    <w:lvl w:ilvl="3" w:tplc="ED962E5E">
      <w:start w:val="1"/>
      <w:numFmt w:val="bullet"/>
      <w:lvlText w:val="●"/>
      <w:lvlJc w:val="left"/>
      <w:pPr>
        <w:ind w:left="2880" w:hanging="360"/>
      </w:pPr>
    </w:lvl>
    <w:lvl w:ilvl="4" w:tplc="48C286AE">
      <w:start w:val="1"/>
      <w:numFmt w:val="bullet"/>
      <w:lvlText w:val="○"/>
      <w:lvlJc w:val="left"/>
      <w:pPr>
        <w:ind w:left="3600" w:hanging="360"/>
      </w:pPr>
    </w:lvl>
    <w:lvl w:ilvl="5" w:tplc="44A26368">
      <w:start w:val="1"/>
      <w:numFmt w:val="bullet"/>
      <w:lvlText w:val="■"/>
      <w:lvlJc w:val="left"/>
      <w:pPr>
        <w:ind w:left="4320" w:hanging="360"/>
      </w:pPr>
    </w:lvl>
    <w:lvl w:ilvl="6" w:tplc="139A664E">
      <w:start w:val="1"/>
      <w:numFmt w:val="bullet"/>
      <w:lvlText w:val="●"/>
      <w:lvlJc w:val="left"/>
      <w:pPr>
        <w:ind w:left="5040" w:hanging="360"/>
      </w:pPr>
    </w:lvl>
    <w:lvl w:ilvl="7" w:tplc="3BDE3812">
      <w:start w:val="1"/>
      <w:numFmt w:val="bullet"/>
      <w:lvlText w:val="●"/>
      <w:lvlJc w:val="left"/>
      <w:pPr>
        <w:ind w:left="5760" w:hanging="360"/>
      </w:pPr>
    </w:lvl>
    <w:lvl w:ilvl="8" w:tplc="59A2110E">
      <w:start w:val="1"/>
      <w:numFmt w:val="bullet"/>
      <w:lvlText w:val="●"/>
      <w:lvlJc w:val="left"/>
      <w:pPr>
        <w:ind w:left="6480" w:hanging="360"/>
      </w:pPr>
    </w:lvl>
  </w:abstractNum>
  <w:abstractNum w:abstractNumId="2" w15:restartNumberingAfterBreak="0">
    <w:nsid w:val="4D0A44A3"/>
    <w:multiLevelType w:val="hybridMultilevel"/>
    <w:tmpl w:val="D83C1830"/>
    <w:lvl w:ilvl="0" w:tplc="6B0ACFAC">
      <w:start w:val="1"/>
      <w:numFmt w:val="bullet"/>
      <w:lvlText w:val="•"/>
      <w:lvlJc w:val="left"/>
      <w:pPr>
        <w:ind w:left="540" w:hanging="260"/>
      </w:pPr>
      <w:rPr>
        <w:color w:val="1CA6E0"/>
      </w:rPr>
    </w:lvl>
    <w:lvl w:ilvl="1" w:tplc="90E06EFA">
      <w:numFmt w:val="decimal"/>
      <w:lvlText w:val=""/>
      <w:lvlJc w:val="left"/>
    </w:lvl>
    <w:lvl w:ilvl="2" w:tplc="CF0443A2">
      <w:numFmt w:val="decimal"/>
      <w:lvlText w:val=""/>
      <w:lvlJc w:val="left"/>
    </w:lvl>
    <w:lvl w:ilvl="3" w:tplc="2ABE03E2">
      <w:numFmt w:val="decimal"/>
      <w:lvlText w:val=""/>
      <w:lvlJc w:val="left"/>
    </w:lvl>
    <w:lvl w:ilvl="4" w:tplc="46BC0A38">
      <w:numFmt w:val="decimal"/>
      <w:lvlText w:val=""/>
      <w:lvlJc w:val="left"/>
    </w:lvl>
    <w:lvl w:ilvl="5" w:tplc="81D8A55E">
      <w:numFmt w:val="decimal"/>
      <w:lvlText w:val=""/>
      <w:lvlJc w:val="left"/>
    </w:lvl>
    <w:lvl w:ilvl="6" w:tplc="7B18E71E">
      <w:numFmt w:val="decimal"/>
      <w:lvlText w:val=""/>
      <w:lvlJc w:val="left"/>
    </w:lvl>
    <w:lvl w:ilvl="7" w:tplc="0AA6DEAC">
      <w:numFmt w:val="decimal"/>
      <w:lvlText w:val=""/>
      <w:lvlJc w:val="left"/>
    </w:lvl>
    <w:lvl w:ilvl="8" w:tplc="F446E576">
      <w:numFmt w:val="decimal"/>
      <w:lvlText w:val=""/>
      <w:lvlJc w:val="left"/>
    </w:lvl>
  </w:abstractNum>
  <w:num w:numId="1" w16cid:durableId="642277219">
    <w:abstractNumId w:val="1"/>
    <w:lvlOverride w:ilvl="0">
      <w:startOverride w:val="1"/>
    </w:lvlOverride>
  </w:num>
  <w:num w:numId="2" w16cid:durableId="962809992">
    <w:abstractNumId w:val="2"/>
    <w:lvlOverride w:ilvl="0">
      <w:startOverride w:val="1"/>
    </w:lvlOverride>
  </w:num>
  <w:num w:numId="3" w16cid:durableId="17572469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1A7B"/>
    <w:rsid w:val="000F1A7B"/>
    <w:rsid w:val="002625E8"/>
    <w:rsid w:val="002F5F89"/>
    <w:rsid w:val="003C4806"/>
    <w:rsid w:val="00557B56"/>
    <w:rsid w:val="0058520A"/>
    <w:rsid w:val="006D36C4"/>
    <w:rsid w:val="007511A1"/>
    <w:rsid w:val="009D2C9B"/>
    <w:rsid w:val="00A406B2"/>
    <w:rsid w:val="00A779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92AA2B"/>
  <w15:docId w15:val="{3393A88B-84F9-471A-998D-2BDDB3A0CE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www.workwise.ai/"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1047</Words>
  <Characters>5970</Characters>
  <Application>Microsoft Office Word</Application>
  <DocSecurity>0</DocSecurity>
  <Lines>49</Lines>
  <Paragraphs>14</Paragraphs>
  <ScaleCrop>false</ScaleCrop>
  <Company/>
  <LinksUpToDate>false</LinksUpToDate>
  <CharactersWithSpaces>7003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Courtney Freeman</cp:lastModifiedBy>
  <cp:revision>2</cp:revision>
  <dcterms:created xsi:type="dcterms:W3CDTF">2026-06-25T20:20:00Z</dcterms:created>
  <dcterms:modified xsi:type="dcterms:W3CDTF">2026-06-25T20:20:00Z</dcterms:modified>
</cp:coreProperties>
</file>