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A8767A" w14:textId="651A160F" w:rsidR="00DF6973" w:rsidRDefault="00755FB6" w:rsidP="0048011A">
      <w:pPr>
        <w:pStyle w:val="1"/>
      </w:pPr>
      <w:bookmarkStart w:id="0" w:name="越南廣場詳細介紹包含廣場歷史文化與古蹟商場等資訊"/>
      <w:bookmarkEnd w:id="0"/>
      <w:r>
        <w:t>越南廣場詳細介紹</w:t>
      </w:r>
      <w:r w:rsidR="0048011A">
        <w:rPr>
          <w:rFonts w:hint="eastAsia"/>
          <w:lang w:eastAsia="zh-TW"/>
        </w:rPr>
        <w:t>(</w:t>
      </w:r>
      <w:hyperlink r:id="rId5" w:history="1">
        <w:r w:rsidR="0048011A" w:rsidRPr="0048011A">
          <w:rPr>
            <w:rStyle w:val="ad"/>
            <w:rFonts w:hint="eastAsia"/>
            <w:lang w:eastAsia="zh-TW"/>
          </w:rPr>
          <w:t>網頁資訊連結</w:t>
        </w:r>
      </w:hyperlink>
      <w:r w:rsidR="0048011A">
        <w:rPr>
          <w:rFonts w:hint="eastAsia"/>
          <w:lang w:eastAsia="zh-TW"/>
        </w:rPr>
        <w:t>)</w:t>
      </w:r>
      <w:r>
        <w:rPr>
          <w:noProof/>
        </w:rPr>
        <w:drawing>
          <wp:inline distT="0" distB="0" distL="0" distR="0" wp14:anchorId="6146FA9B" wp14:editId="7B08F907">
            <wp:extent cx="6332220" cy="4688593"/>
            <wp:effectExtent l="0" t="0" r="0" b="0"/>
            <wp:docPr id="100000" name="Image100000" descr="min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0"/>
                    <pic:cNvPicPr/>
                  </pic:nvPicPr>
                  <pic:blipFill>
                    <a:blip r:embed="rId6"/>
                    <a:stretch>
                      <a:fillRect/>
                    </a:stretch>
                  </pic:blipFill>
                  <pic:spPr>
                    <a:xfrm>
                      <a:off x="0" y="0"/>
                      <a:ext cx="6332220" cy="4688593"/>
                    </a:xfrm>
                    <a:prstGeom prst="rect">
                      <a:avLst/>
                    </a:prstGeom>
                  </pic:spPr>
                </pic:pic>
              </a:graphicData>
            </a:graphic>
          </wp:inline>
        </w:drawing>
      </w:r>
    </w:p>
    <w:p w14:paraId="1ED5DFA5" w14:textId="77777777" w:rsidR="00DF6973" w:rsidRDefault="00755FB6">
      <w:pPr>
        <w:pStyle w:val="2"/>
      </w:pPr>
      <w:bookmarkStart w:id="1" w:name="總覽"/>
      <w:bookmarkEnd w:id="1"/>
      <w:r>
        <w:t>總</w:t>
      </w:r>
      <w:r>
        <w:t>覽</w:t>
      </w:r>
    </w:p>
    <w:p w14:paraId="0DF16EB2" w14:textId="77777777" w:rsidR="00DF6973" w:rsidRDefault="00755FB6">
      <w:pPr>
        <w:pStyle w:val="ParagraphTextBody"/>
      </w:pPr>
      <w:r>
        <w:t>越南的廣場不僅是城市地理上的中心，更是承載國家歷史記憶、政治權威與現代商業活力的多功能空間。以河內的巴亭廣場為代表的歷史性廣場，是越南民族獨立與政治精神的象徵，周邊環繞著胡志明主席陵墓等重要國家級古蹟。與此同時，隨著經濟的飛速發展，越南的城市廣場概念正在演變。在胡志明市等商業中心，廣場已與大型購物中心和步行街緊密結合，如阮惠街步行廣場和西貢廣場，它們不僅是市民休閒的公共空間，更成為推動周邊商業繁榮與「廣場不動產」價值提升的核心引擎。這種從莊嚴的政治符號到充滿活力的商業與生活中心的轉變，反映了越南社會的現代化</w:t>
      </w:r>
      <w:r>
        <w:t>進程。</w:t>
      </w:r>
    </w:p>
    <w:p w14:paraId="02306D86" w14:textId="77777777" w:rsidR="00DF6973" w:rsidRDefault="00755FB6">
      <w:pPr>
        <w:pStyle w:val="2"/>
      </w:pPr>
      <w:bookmarkStart w:id="2" w:name="詳細報告"/>
      <w:bookmarkEnd w:id="2"/>
      <w:r>
        <w:lastRenderedPageBreak/>
        <w:t>詳細報告</w:t>
      </w:r>
    </w:p>
    <w:p w14:paraId="16E64C67" w14:textId="77777777" w:rsidR="00DF6973" w:rsidRDefault="00755FB6">
      <w:pPr>
        <w:pStyle w:val="3"/>
      </w:pPr>
      <w:bookmarkStart w:id="3" w:name="歷史與政治心臟巴亭廣場-ba-dinh-square"/>
      <w:bookmarkEnd w:id="3"/>
      <w:r>
        <w:rPr>
          <w:rStyle w:val="StrongEmphasis"/>
        </w:rPr>
        <w:t>歷史與政治心臟：巴亭廣場</w:t>
      </w:r>
      <w:r>
        <w:rPr>
          <w:rStyle w:val="StrongEmphasis"/>
        </w:rPr>
        <w:t xml:space="preserve"> (Ba Dinh Square)</w:t>
      </w:r>
    </w:p>
    <w:p w14:paraId="1C0DD108" w14:textId="04F05322" w:rsidR="00DF6973" w:rsidRDefault="00755FB6">
      <w:pPr>
        <w:pStyle w:val="ParagraphTextBody"/>
      </w:pPr>
      <w:r>
        <w:t>巴亭廣場是越南最大且最具歷史意義的廣場，被譽為國家的「心臟」</w:t>
      </w:r>
      <w:r>
        <w:t>。它不僅是河內市民集會和節日活動的重要場所，更是越南現代史的關鍵見證者</w:t>
      </w:r>
      <w:r>
        <w:t>。</w:t>
      </w:r>
    </w:p>
    <w:p w14:paraId="5918E091" w14:textId="77777777" w:rsidR="00DF6973" w:rsidRDefault="00755FB6">
      <w:pPr>
        <w:pStyle w:val="ParagraphTextBody"/>
      </w:pPr>
      <w:r>
        <w:rPr>
          <w:noProof/>
        </w:rPr>
        <w:drawing>
          <wp:inline distT="0" distB="0" distL="0" distR="0" wp14:anchorId="224670E3" wp14:editId="03658B50">
            <wp:extent cx="6332220" cy="4221480"/>
            <wp:effectExtent l="0" t="0" r="0" b="0"/>
            <wp:docPr id="100002" name="Image100002" descr="巴亭廣場全景，前方為胡志明主席陵墓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2"/>
                    <pic:cNvPicPr/>
                  </pic:nvPicPr>
                  <pic:blipFill>
                    <a:blip r:embed="rId7"/>
                    <a:stretch>
                      <a:fillRect/>
                    </a:stretch>
                  </pic:blipFill>
                  <pic:spPr>
                    <a:xfrm>
                      <a:off x="0" y="0"/>
                      <a:ext cx="6332220" cy="4221480"/>
                    </a:xfrm>
                    <a:prstGeom prst="rect">
                      <a:avLst/>
                    </a:prstGeom>
                  </pic:spPr>
                </pic:pic>
              </a:graphicData>
            </a:graphic>
          </wp:inline>
        </w:drawing>
      </w:r>
    </w:p>
    <w:p w14:paraId="2A6C1184" w14:textId="171A2A98" w:rsidR="00DF6973" w:rsidRDefault="00755FB6">
      <w:pPr>
        <w:pStyle w:val="ParagraphTextBody"/>
      </w:pPr>
      <w:r>
        <w:rPr>
          <w:rStyle w:val="StrongEmphasis"/>
        </w:rPr>
        <w:t>歷史意義</w:t>
      </w:r>
      <w:r>
        <w:t xml:space="preserve"> </w:t>
      </w:r>
      <w:r>
        <w:t>巴亭廣場最重要的歷史時刻發生在</w:t>
      </w:r>
      <w:r>
        <w:t>1945</w:t>
      </w:r>
      <w:r>
        <w:t>年</w:t>
      </w:r>
      <w:r>
        <w:t>9</w:t>
      </w:r>
      <w:r>
        <w:t>月</w:t>
      </w:r>
      <w:r>
        <w:t>2</w:t>
      </w:r>
      <w:r>
        <w:t>日，胡志明主席在此莊嚴宣讀《獨立宣言》，宣告越南民主共和國的誕生，結束了長達數千年的殖民統治</w:t>
      </w:r>
      <w:r>
        <w:t>。此後，廣場成為舉行國家級慶典、閱兵儀式和重大政治集會的場所</w:t>
      </w:r>
      <w:r>
        <w:t>。廣場的名稱「巴亭」源於</w:t>
      </w:r>
      <w:r>
        <w:t>19</w:t>
      </w:r>
      <w:r>
        <w:t>世紀</w:t>
      </w:r>
      <w:r>
        <w:t>80</w:t>
      </w:r>
      <w:r>
        <w:t>年代清化省的一個抗法根據地，以紀念其不屈的鬥爭精神</w:t>
      </w:r>
      <w:r>
        <w:t>。在成為政治中心前，這片土地曾是昇龍皇城的一部分，後在法屬時期被規劃為行政中心，當時名為「普吉尼耶公園」（</w:t>
      </w:r>
      <w:r>
        <w:t>Le Parc Pugininer</w:t>
      </w:r>
      <w:r>
        <w:t>）</w:t>
      </w:r>
      <w:r>
        <w:t>。</w:t>
      </w:r>
    </w:p>
    <w:p w14:paraId="0EE8AB94" w14:textId="0C594BF0" w:rsidR="00DF6973" w:rsidRDefault="00755FB6">
      <w:pPr>
        <w:pStyle w:val="ParagraphTextBody"/>
      </w:pPr>
      <w:r>
        <w:rPr>
          <w:rStyle w:val="StrongEmphasis"/>
        </w:rPr>
        <w:lastRenderedPageBreak/>
        <w:t>建築佈局與文化活動</w:t>
      </w:r>
      <w:r>
        <w:t xml:space="preserve"> </w:t>
      </w:r>
      <w:r>
        <w:t>巴亭廣場長</w:t>
      </w:r>
      <w:r>
        <w:t>320</w:t>
      </w:r>
      <w:r>
        <w:t>米，寬約</w:t>
      </w:r>
      <w:r>
        <w:t>100</w:t>
      </w:r>
      <w:r>
        <w:t>米，可容納高達二十萬人</w:t>
      </w:r>
      <w:r>
        <w:t>。廣場由超過</w:t>
      </w:r>
      <w:r>
        <w:t>200</w:t>
      </w:r>
      <w:r>
        <w:t>個四季常青的草坪方格組成，其間由</w:t>
      </w:r>
      <w:r>
        <w:t>1.4</w:t>
      </w:r>
      <w:r>
        <w:t>米寬的步道分隔</w:t>
      </w:r>
      <w:r>
        <w:t>]</w:t>
      </w:r>
      <w:r>
        <w:t>。廣場中央矗立著一座</w:t>
      </w:r>
      <w:r>
        <w:t>30</w:t>
      </w:r>
      <w:r>
        <w:t>米高的旗桿，每日清晨與傍晚舉行的升降旗儀式是這裡最莊嚴的日常活動，吸引無數本地</w:t>
      </w:r>
      <w:r>
        <w:t>居民與遊客駐足觀看，充滿愛國主義情懷</w:t>
      </w:r>
      <w:r>
        <w:t>。</w:t>
      </w:r>
    </w:p>
    <w:p w14:paraId="0F0B1034" w14:textId="35FDF259" w:rsidR="00DF6973" w:rsidRDefault="00755FB6">
      <w:pPr>
        <w:pStyle w:val="a0"/>
      </w:pPr>
      <w:r>
        <w:rPr>
          <w:rStyle w:val="StrongEmphasis"/>
        </w:rPr>
        <w:t>升旗儀式時間</w:t>
      </w:r>
      <w:r>
        <w:t xml:space="preserve">: </w:t>
      </w:r>
      <w:r>
        <w:t>夏季（</w:t>
      </w:r>
      <w:r>
        <w:t>4</w:t>
      </w:r>
      <w:r>
        <w:t>月至</w:t>
      </w:r>
      <w:r>
        <w:t>10</w:t>
      </w:r>
      <w:r>
        <w:t>月）為早上</w:t>
      </w:r>
      <w:r>
        <w:t>6:00</w:t>
      </w:r>
      <w:r>
        <w:t>；冬季（</w:t>
      </w:r>
      <w:r>
        <w:t>11</w:t>
      </w:r>
      <w:r>
        <w:t>月至</w:t>
      </w:r>
      <w:r>
        <w:t>3</w:t>
      </w:r>
      <w:r>
        <w:t>月）為早上</w:t>
      </w:r>
      <w:r>
        <w:t>6:3</w:t>
      </w:r>
      <w:r>
        <w:t>。</w:t>
      </w:r>
    </w:p>
    <w:p w14:paraId="367960A6" w14:textId="4DFBA614" w:rsidR="00DF6973" w:rsidRDefault="00755FB6">
      <w:pPr>
        <w:pStyle w:val="a0"/>
      </w:pPr>
      <w:r>
        <w:rPr>
          <w:rStyle w:val="StrongEmphasis"/>
        </w:rPr>
        <w:t>降旗儀式時間</w:t>
      </w:r>
      <w:r>
        <w:t xml:space="preserve">: </w:t>
      </w:r>
      <w:r>
        <w:t>每日晚上</w:t>
      </w:r>
      <w:r>
        <w:t>9:00</w:t>
      </w:r>
      <w:r>
        <w:t>。</w:t>
      </w:r>
    </w:p>
    <w:p w14:paraId="697D9E43" w14:textId="4994011E" w:rsidR="00DF6973" w:rsidRDefault="00755FB6">
      <w:pPr>
        <w:pStyle w:val="ParagraphTextBody"/>
      </w:pPr>
      <w:r>
        <w:rPr>
          <w:rStyle w:val="StrongEmphasis"/>
        </w:rPr>
        <w:t>巴亭歷史文化建築群</w:t>
      </w:r>
      <w:r>
        <w:t xml:space="preserve"> </w:t>
      </w:r>
      <w:r>
        <w:t>巴亭廣場不僅自身意義非凡，其周邊更匯集了越南最重要的歷</w:t>
      </w:r>
      <w:r>
        <w:t>史文化古蹟群，共同構成一個莊嚴的政治與文化核心區</w:t>
      </w:r>
      <w:r>
        <w:t>。</w:t>
      </w:r>
    </w:p>
    <w:p w14:paraId="132D6801" w14:textId="0245C49A" w:rsidR="00DF6973" w:rsidRDefault="00755FB6">
      <w:pPr>
        <w:pStyle w:val="a0"/>
      </w:pPr>
      <w:r>
        <w:rPr>
          <w:rStyle w:val="StrongEmphasis"/>
        </w:rPr>
        <w:t>胡志明主席陵墓</w:t>
      </w:r>
      <w:r>
        <w:rPr>
          <w:rStyle w:val="StrongEmphasis"/>
        </w:rPr>
        <w:t xml:space="preserve"> (Ho Chi Minh Mausoleum)</w:t>
      </w:r>
      <w:r>
        <w:t xml:space="preserve">: </w:t>
      </w:r>
      <w:r>
        <w:t>位於廣場西側，是越南人民對其敬愛領袖胡志明的永久紀念地</w:t>
      </w:r>
      <w:r>
        <w:t>。陵墓建築宏偉，以灰色花崗岩建成，設計靈感部分來源於莫斯科的列寧墓，並融入了越南建築元素</w:t>
      </w:r>
      <w:r>
        <w:t>。陵墓內安放著胡志明主席的遺體，供民眾瞻仰</w:t>
      </w:r>
      <w:r>
        <w:t>。</w:t>
      </w:r>
    </w:p>
    <w:p w14:paraId="4FFBA4E9" w14:textId="79D6DE9D" w:rsidR="00DF6973" w:rsidRDefault="00755FB6">
      <w:pPr>
        <w:pStyle w:val="a0"/>
      </w:pPr>
      <w:r>
        <w:rPr>
          <w:rStyle w:val="StrongEmphasis"/>
        </w:rPr>
        <w:t>主席府</w:t>
      </w:r>
      <w:r>
        <w:rPr>
          <w:rStyle w:val="StrongEmphasis"/>
        </w:rPr>
        <w:t xml:space="preserve"> (Presidential Palace)</w:t>
      </w:r>
      <w:r>
        <w:t xml:space="preserve">: </w:t>
      </w:r>
      <w:r>
        <w:t>位於陵墓附近，是一座宏偉的法式殖民風格建築，曾是法屬印度支那總督府</w:t>
      </w:r>
      <w:r>
        <w:t>。胡志明主席在戰後拒絕入住這座奢華的宮殿，選擇在旁邊的吊腳樓生活與工作，彰顯其簡樸的作風</w:t>
      </w:r>
      <w:r>
        <w:t>。</w:t>
      </w:r>
    </w:p>
    <w:p w14:paraId="03F2617B" w14:textId="329A7108" w:rsidR="00DF6973" w:rsidRDefault="00755FB6">
      <w:pPr>
        <w:pStyle w:val="a0"/>
      </w:pPr>
      <w:r>
        <w:rPr>
          <w:rStyle w:val="StrongEmphasis"/>
        </w:rPr>
        <w:t>胡志明博物館</w:t>
      </w:r>
      <w:r>
        <w:rPr>
          <w:rStyle w:val="StrongEmphasis"/>
        </w:rPr>
        <w:t xml:space="preserve"> (Ho Chi Minh Museum)</w:t>
      </w:r>
      <w:r>
        <w:t xml:space="preserve">: </w:t>
      </w:r>
      <w:r>
        <w:t>於</w:t>
      </w:r>
      <w:r>
        <w:t>1990</w:t>
      </w:r>
      <w:r>
        <w:t>年為紀念胡志明主席誕辰</w:t>
      </w:r>
      <w:r>
        <w:t>100</w:t>
      </w:r>
      <w:r>
        <w:t>週年而建，館內陳列著大量關於他生平與革命事業的文物、照片和資料</w:t>
      </w:r>
      <w:r>
        <w:t>。</w:t>
      </w:r>
    </w:p>
    <w:p w14:paraId="04924F34" w14:textId="69EF0A4F" w:rsidR="00DF6973" w:rsidRDefault="00755FB6">
      <w:pPr>
        <w:pStyle w:val="a0"/>
      </w:pPr>
      <w:r>
        <w:rPr>
          <w:rStyle w:val="StrongEmphasis"/>
        </w:rPr>
        <w:t>一柱寺</w:t>
      </w:r>
      <w:r>
        <w:rPr>
          <w:rStyle w:val="StrongEmphasis"/>
        </w:rPr>
        <w:t xml:space="preserve"> (One Pillar Pagoda)</w:t>
      </w:r>
      <w:r>
        <w:t xml:space="preserve">: </w:t>
      </w:r>
      <w:r>
        <w:t>坐落於廣場旁，是河內最具特色的古蹟之一</w:t>
      </w:r>
      <w:r>
        <w:t>。該寺始建於</w:t>
      </w:r>
      <w:r>
        <w:t>1049</w:t>
      </w:r>
      <w:r>
        <w:t>年的李朝，因建在靈沼池的一根</w:t>
      </w:r>
      <w:r>
        <w:t>巨大石柱上而得名，其造型宛如一朵出水蓮花，象徵著佛教的純潔與智慧</w:t>
      </w:r>
      <w:r>
        <w:t>。</w:t>
      </w:r>
    </w:p>
    <w:p w14:paraId="7BF5351C" w14:textId="3018885A" w:rsidR="00DF6973" w:rsidRDefault="00755FB6">
      <w:pPr>
        <w:pStyle w:val="a0"/>
      </w:pPr>
      <w:r>
        <w:rPr>
          <w:rStyle w:val="StrongEmphasis"/>
        </w:rPr>
        <w:t>胡志明主席的吊腳樓</w:t>
      </w:r>
      <w:r>
        <w:rPr>
          <w:rStyle w:val="StrongEmphasis"/>
        </w:rPr>
        <w:t xml:space="preserve"> (Un</w:t>
      </w:r>
      <w:r>
        <w:rPr>
          <w:rStyle w:val="StrongEmphasis"/>
        </w:rPr>
        <w:t>cle Ho's Stilt House)</w:t>
      </w:r>
      <w:r>
        <w:t xml:space="preserve">: </w:t>
      </w:r>
      <w:r>
        <w:t>這座簡樸的木造吊腳樓是胡志明主席從</w:t>
      </w:r>
      <w:r>
        <w:t>1958</w:t>
      </w:r>
      <w:r>
        <w:t>年至</w:t>
      </w:r>
      <w:r>
        <w:t>1969</w:t>
      </w:r>
      <w:r>
        <w:t>年生活和工作的地方，屋內保留著他生前的陳設，周圍環繞著寧靜的花園與池塘，充分體現了他偉大而簡樸的人格魅力</w:t>
      </w:r>
      <w:r>
        <w:t>]</w:t>
      </w:r>
      <w:r>
        <w:t>。</w:t>
      </w:r>
    </w:p>
    <w:p w14:paraId="09036E5C" w14:textId="77777777" w:rsidR="00DF6973" w:rsidRDefault="00755FB6">
      <w:pPr>
        <w:pStyle w:val="ParagraphTextBody"/>
      </w:pPr>
      <w:r>
        <w:rPr>
          <w:noProof/>
        </w:rPr>
        <w:lastRenderedPageBreak/>
        <w:drawing>
          <wp:inline distT="0" distB="0" distL="0" distR="0" wp14:anchorId="699E1D2E" wp14:editId="71D2527D">
            <wp:extent cx="6332220" cy="3932309"/>
            <wp:effectExtent l="0" t="0" r="0" b="0"/>
            <wp:docPr id="100004" name="Image100004" descr="河內獨特的一柱寺，建於1049年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4"/>
                    <pic:cNvPicPr/>
                  </pic:nvPicPr>
                  <pic:blipFill>
                    <a:blip r:embed="rId8"/>
                    <a:stretch>
                      <a:fillRect/>
                    </a:stretch>
                  </pic:blipFill>
                  <pic:spPr>
                    <a:xfrm>
                      <a:off x="0" y="0"/>
                      <a:ext cx="6332220" cy="3932309"/>
                    </a:xfrm>
                    <a:prstGeom prst="rect">
                      <a:avLst/>
                    </a:prstGeom>
                  </pic:spPr>
                </pic:pic>
              </a:graphicData>
            </a:graphic>
          </wp:inline>
        </w:drawing>
      </w:r>
    </w:p>
    <w:p w14:paraId="63AD6436" w14:textId="77777777" w:rsidR="00DF6973" w:rsidRDefault="00755FB6">
      <w:pPr>
        <w:pStyle w:val="3"/>
      </w:pPr>
      <w:bookmarkStart w:id="4" w:name="廣場的演變從公共空間到商業中心"/>
      <w:bookmarkEnd w:id="4"/>
      <w:r>
        <w:rPr>
          <w:rStyle w:val="StrongEmphasis"/>
        </w:rPr>
        <w:t>廣場的演變：從公共空間到商業中心</w:t>
      </w:r>
    </w:p>
    <w:p w14:paraId="0DEA4C94" w14:textId="5E8BB12A" w:rsidR="00DF6973" w:rsidRDefault="00755FB6">
      <w:pPr>
        <w:pStyle w:val="ParagraphTextBody"/>
      </w:pPr>
      <w:r>
        <w:t>歷史上，無論是古希臘的</w:t>
      </w:r>
      <w:r>
        <w:t>Agora</w:t>
      </w:r>
      <w:r>
        <w:t>還是羅馬的</w:t>
      </w:r>
      <w:r>
        <w:t>Forum</w:t>
      </w:r>
      <w:r>
        <w:t>，廣場始終是城市生活的中心，反映著一個地區的繁榮與特性</w:t>
      </w:r>
      <w:r>
        <w:t>。在現代越南，這一傳統正在被重新演繹。廣場不僅是文化地標，更成為推動城市經濟發展、塑造現代生活方式的強大引擎</w:t>
      </w:r>
      <w:r>
        <w:t>。</w:t>
      </w:r>
    </w:p>
    <w:p w14:paraId="70887EE3" w14:textId="394E23BD" w:rsidR="00DF6973" w:rsidRDefault="00755FB6">
      <w:pPr>
        <w:pStyle w:val="ParagraphTextBody"/>
      </w:pPr>
      <w:r>
        <w:rPr>
          <w:rStyle w:val="StrongEmphasis"/>
        </w:rPr>
        <w:t>「廣場不動產」概念的興起</w:t>
      </w:r>
      <w:r>
        <w:t xml:space="preserve"> </w:t>
      </w:r>
      <w:r>
        <w:t>「廣場不動產」（</w:t>
      </w:r>
      <w:r>
        <w:t>B</w:t>
      </w:r>
      <w:r>
        <w:t>ấ</w:t>
      </w:r>
      <w:r>
        <w:t>t đ</w:t>
      </w:r>
      <w:r>
        <w:t>ộ</w:t>
      </w:r>
      <w:r>
        <w:t>ng s</w:t>
      </w:r>
      <w:r>
        <w:t>ả</w:t>
      </w:r>
      <w:r>
        <w:t>n qu</w:t>
      </w:r>
      <w:r>
        <w:t>ả</w:t>
      </w:r>
      <w:r>
        <w:t xml:space="preserve">ng </w:t>
      </w:r>
      <w:r>
        <w:t>trư</w:t>
      </w:r>
      <w:r>
        <w:t>ờ</w:t>
      </w:r>
      <w:r>
        <w:t>ng</w:t>
      </w:r>
      <w:r>
        <w:t>）是越南房地產市場上一個新興的概念</w:t>
      </w:r>
      <w:r>
        <w:t>。以胡志明市的阮惠街步行廣場和河內的東</w:t>
      </w:r>
      <w:r>
        <w:t xml:space="preserve"> Kinh Nghĩa Th</w:t>
      </w:r>
      <w:r>
        <w:t>ụ</w:t>
      </w:r>
      <w:r>
        <w:t xml:space="preserve">c </w:t>
      </w:r>
      <w:r>
        <w:t>廣場為例，這些區域因其巨大的客流量，帶動了周邊商業活動的極大繁榮，使得鄰近的房地產價格持續上漲，始終處</w:t>
      </w:r>
      <w:r>
        <w:t>於最高水平</w:t>
      </w:r>
      <w:r>
        <w:t>。這證明了精心規劃的公共空間能夠創造巨大的商業潛力</w:t>
      </w:r>
      <w:r>
        <w:t>[</w:t>
      </w:r>
      <w:hyperlink r:id="rId9">
        <w:r>
          <w:rPr>
            <w:rStyle w:val="ad"/>
          </w:rPr>
          <w:t>16</w:t>
        </w:r>
      </w:hyperlink>
      <w:r>
        <w:t>]</w:t>
      </w:r>
      <w:r>
        <w:t>。</w:t>
      </w:r>
    </w:p>
    <w:p w14:paraId="3F78C25A" w14:textId="6E14E69D" w:rsidR="00DF6973" w:rsidRDefault="00755FB6">
      <w:pPr>
        <w:pStyle w:val="ParagraphTextBody"/>
      </w:pPr>
      <w:r>
        <w:rPr>
          <w:rStyle w:val="StrongEmphasis"/>
        </w:rPr>
        <w:t>現代商業廣場的發展趨勢</w:t>
      </w:r>
      <w:r>
        <w:t xml:space="preserve"> </w:t>
      </w:r>
      <w:r>
        <w:t>新一代的越南廣場設計趨向於多功能複合體，將購物中心、綠地公園、娛樂設施和文化活動融為一體</w:t>
      </w:r>
      <w:r>
        <w:t>。這種「</w:t>
      </w:r>
      <w:r>
        <w:t>ParkMall</w:t>
      </w:r>
      <w:r>
        <w:t>」模式，即公園與開放式商業區的結合，為市民提供了既能親近自然又能享受現代便利的休閒體</w:t>
      </w:r>
      <w:r>
        <w:t>。越南許多新興城市和大型開發項目都在積極採納此類規劃，例如普</w:t>
      </w:r>
      <w:r>
        <w:t xml:space="preserve"> Yên </w:t>
      </w:r>
      <w:r>
        <w:t>市的</w:t>
      </w:r>
      <w:r>
        <w:t xml:space="preserve"> Central Square </w:t>
      </w:r>
      <w:r>
        <w:t>和</w:t>
      </w:r>
      <w:r>
        <w:t xml:space="preserve"> Ecopark </w:t>
      </w:r>
      <w:r>
        <w:t>的</w:t>
      </w:r>
      <w:r>
        <w:t xml:space="preserve"> The Landmark </w:t>
      </w:r>
      <w:r>
        <w:t>項目，後者</w:t>
      </w:r>
      <w:r>
        <w:lastRenderedPageBreak/>
        <w:t>規劃了越南最大的購物中心之一，並配有大型音樂噴泉廣場，旨在成為吸引年輕人和遊客的「打卡」熱點</w:t>
      </w:r>
      <w:r>
        <w:t>。</w:t>
      </w:r>
    </w:p>
    <w:p w14:paraId="16C4C227" w14:textId="77777777" w:rsidR="00DF6973" w:rsidRDefault="00755FB6">
      <w:pPr>
        <w:pStyle w:val="ParagraphTextBody"/>
      </w:pPr>
      <w:r>
        <w:rPr>
          <w:noProof/>
        </w:rPr>
        <w:drawing>
          <wp:inline distT="0" distB="0" distL="0" distR="0" wp14:anchorId="2CB36B04" wp14:editId="7A1D379D">
            <wp:extent cx="6332220" cy="4381896"/>
            <wp:effectExtent l="0" t="0" r="0" b="0"/>
            <wp:docPr id="100006" name="Image100006" descr="位於胡志明市中心的豪華購物中心Saigon Centre (Takashimay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6"/>
                    <pic:cNvPicPr/>
                  </pic:nvPicPr>
                  <pic:blipFill>
                    <a:blip r:embed="rId10"/>
                    <a:stretch>
                      <a:fillRect/>
                    </a:stretch>
                  </pic:blipFill>
                  <pic:spPr>
                    <a:xfrm>
                      <a:off x="0" y="0"/>
                      <a:ext cx="6332220" cy="4381896"/>
                    </a:xfrm>
                    <a:prstGeom prst="rect">
                      <a:avLst/>
                    </a:prstGeom>
                  </pic:spPr>
                </pic:pic>
              </a:graphicData>
            </a:graphic>
          </wp:inline>
        </w:drawing>
      </w:r>
    </w:p>
    <w:p w14:paraId="15590246" w14:textId="77777777" w:rsidR="00DF6973" w:rsidRDefault="00755FB6">
      <w:pPr>
        <w:pStyle w:val="3"/>
      </w:pPr>
      <w:bookmarkStart w:id="5" w:name="越南主要商業廣場與購物中心"/>
      <w:bookmarkEnd w:id="5"/>
      <w:r>
        <w:rPr>
          <w:rStyle w:val="StrongEmphasis"/>
        </w:rPr>
        <w:t>越南主要商業廣場與購物中心</w:t>
      </w:r>
    </w:p>
    <w:p w14:paraId="12B90270" w14:textId="77777777" w:rsidR="00DF6973" w:rsidRDefault="00755FB6">
      <w:pPr>
        <w:pStyle w:val="ParagraphTextBody"/>
      </w:pPr>
      <w:r>
        <w:t>隨著城市化的推進，與廣場緊密相連的購物中心已成為越南各大城市消費文化的重要組成部分。</w:t>
      </w:r>
    </w:p>
    <w:p w14:paraId="5E9F2F58" w14:textId="2C6605FA" w:rsidR="00DF6973" w:rsidRDefault="00755FB6">
      <w:pPr>
        <w:pStyle w:val="ParagraphTextBody"/>
      </w:pPr>
      <w:r>
        <w:rPr>
          <w:rStyle w:val="StrongEmphasis"/>
        </w:rPr>
        <w:t>胡志明市</w:t>
      </w:r>
      <w:r>
        <w:rPr>
          <w:rStyle w:val="StrongEmphasis"/>
        </w:rPr>
        <w:t xml:space="preserve"> (Ho Chi Minh City)</w:t>
      </w:r>
      <w:r>
        <w:t xml:space="preserve"> </w:t>
      </w:r>
      <w:r>
        <w:t>作為越南的經濟中心，胡志明市擁有最多元化的購物廣場</w:t>
      </w:r>
      <w:r>
        <w:t>。</w:t>
      </w:r>
    </w:p>
    <w:p w14:paraId="1BE826B3" w14:textId="3951801E" w:rsidR="00DF6973" w:rsidRDefault="00755FB6">
      <w:pPr>
        <w:pStyle w:val="a0"/>
      </w:pPr>
      <w:r>
        <w:rPr>
          <w:rStyle w:val="StrongEmphasis"/>
        </w:rPr>
        <w:t>西貢廣場</w:t>
      </w:r>
      <w:r>
        <w:rPr>
          <w:rStyle w:val="StrongEmphasis"/>
        </w:rPr>
        <w:t xml:space="preserve"> (Saigon Square)</w:t>
      </w:r>
      <w:r>
        <w:t xml:space="preserve">: </w:t>
      </w:r>
      <w:r>
        <w:t>這是一個介於傳</w:t>
      </w:r>
      <w:r>
        <w:t>統市場與現代購物中心之間的獨特存在</w:t>
      </w:r>
      <w:r>
        <w:t>]</w:t>
      </w:r>
      <w:r>
        <w:t>。</w:t>
      </w:r>
      <w:r>
        <w:t>它以室內空調環境和密集的攤位佈局著稱，是購買平價時裝、配飾和品牌仿製品的熱門地點，遊客在此可以體驗討價還價的樂趣</w:t>
      </w:r>
      <w:r>
        <w:t>。</w:t>
      </w:r>
    </w:p>
    <w:p w14:paraId="342171CD" w14:textId="77777777" w:rsidR="00DF6973" w:rsidRDefault="00755FB6">
      <w:pPr>
        <w:pStyle w:val="a0"/>
      </w:pPr>
      <w:r>
        <w:rPr>
          <w:rStyle w:val="StrongEmphasis"/>
        </w:rPr>
        <w:t>現代豪華購物中心</w:t>
      </w:r>
      <w:r>
        <w:t>:</w:t>
      </w:r>
    </w:p>
    <w:p w14:paraId="021797F9" w14:textId="135EB733" w:rsidR="00DF6973" w:rsidRDefault="00755FB6">
      <w:pPr>
        <w:pStyle w:val="a0"/>
        <w:numPr>
          <w:ilvl w:val="1"/>
          <w:numId w:val="2"/>
        </w:numPr>
      </w:pPr>
      <w:r>
        <w:rPr>
          <w:rStyle w:val="StrongEmphasis"/>
        </w:rPr>
        <w:t>Saigon Centre (Takashimaya)</w:t>
      </w:r>
      <w:r>
        <w:t xml:space="preserve">: </w:t>
      </w:r>
      <w:r>
        <w:t>被廣泛認為是胡志明市頂級的豪華購物中心，匯集了</w:t>
      </w:r>
      <w:r>
        <w:t xml:space="preserve">Louis </w:t>
      </w:r>
      <w:r>
        <w:t>Vuitton</w:t>
      </w:r>
      <w:r>
        <w:t>、</w:t>
      </w:r>
      <w:r>
        <w:t>Gucci</w:t>
      </w:r>
      <w:r>
        <w:t>等眾多國際一線品牌，提供高端的購物環境和精緻的餐飲選擇</w:t>
      </w:r>
      <w:r>
        <w:t>。</w:t>
      </w:r>
    </w:p>
    <w:p w14:paraId="5E2DDE68" w14:textId="5394ED41" w:rsidR="00DF6973" w:rsidRDefault="00755FB6">
      <w:pPr>
        <w:pStyle w:val="a0"/>
        <w:numPr>
          <w:ilvl w:val="1"/>
          <w:numId w:val="2"/>
        </w:numPr>
      </w:pPr>
      <w:r>
        <w:rPr>
          <w:rStyle w:val="StrongEmphasis"/>
        </w:rPr>
        <w:lastRenderedPageBreak/>
        <w:t>Vincom Center Đ</w:t>
      </w:r>
      <w:r>
        <w:rPr>
          <w:rStyle w:val="StrongEmphasis"/>
        </w:rPr>
        <w:t>ồ</w:t>
      </w:r>
      <w:r>
        <w:rPr>
          <w:rStyle w:val="StrongEmphasis"/>
        </w:rPr>
        <w:t>ng Kh</w:t>
      </w:r>
      <w:r>
        <w:rPr>
          <w:rStyle w:val="StrongEmphasis"/>
        </w:rPr>
        <w:t>ở</w:t>
      </w:r>
      <w:r>
        <w:rPr>
          <w:rStyle w:val="StrongEmphasis"/>
        </w:rPr>
        <w:t>i</w:t>
      </w:r>
      <w:r>
        <w:t xml:space="preserve">: </w:t>
      </w:r>
      <w:r>
        <w:t>位於市中心黃金地段，是另一個集高端時尚、美妝和電子產品於一體的豪華購物地標</w:t>
      </w:r>
    </w:p>
    <w:p w14:paraId="20BA2968" w14:textId="300BD496" w:rsidR="00DF6973" w:rsidRDefault="00755FB6">
      <w:pPr>
        <w:pStyle w:val="a0"/>
        <w:numPr>
          <w:ilvl w:val="1"/>
          <w:numId w:val="2"/>
        </w:numPr>
      </w:pPr>
      <w:r>
        <w:rPr>
          <w:rStyle w:val="StrongEmphasis"/>
        </w:rPr>
        <w:t>Union Square</w:t>
      </w:r>
      <w:r>
        <w:t xml:space="preserve">: </w:t>
      </w:r>
      <w:r>
        <w:t>作為地標性建築，提供頂級的生活方式和購物體驗，並直接與地鐵站相連，交通極為便利</w:t>
      </w:r>
      <w:r>
        <w:t>[</w:t>
      </w:r>
      <w:r>
        <w:t>。</w:t>
      </w:r>
    </w:p>
    <w:p w14:paraId="20D33B4C" w14:textId="393E8F4A" w:rsidR="00DF6973" w:rsidRDefault="00755FB6">
      <w:pPr>
        <w:pStyle w:val="a0"/>
      </w:pPr>
      <w:r>
        <w:rPr>
          <w:rStyle w:val="StrongEmphasis"/>
        </w:rPr>
        <w:t>阮惠街步行廣場</w:t>
      </w:r>
      <w:r>
        <w:rPr>
          <w:rStyle w:val="StrongEmphasis"/>
        </w:rPr>
        <w:t xml:space="preserve"> (Nguyen Hue Walking Street)</w:t>
      </w:r>
      <w:r>
        <w:t xml:space="preserve">: </w:t>
      </w:r>
      <w:r>
        <w:t>這不僅是一條街道，更是一個</w:t>
      </w:r>
      <w:r>
        <w:t>充滿活力的現代城市廣場</w:t>
      </w:r>
      <w:r>
        <w:t>。每到夜晚，這裡燈火通明，噴泉開放</w:t>
      </w:r>
      <w:r>
        <w:t>，成為市民和遊客散步、娛樂和社交的熱鬧場所，周邊遍布高檔酒店、餐廳和商店</w:t>
      </w:r>
      <w:r>
        <w:t>。</w:t>
      </w:r>
    </w:p>
    <w:p w14:paraId="62969525" w14:textId="77777777" w:rsidR="00DF6973" w:rsidRDefault="00755FB6">
      <w:pPr>
        <w:pStyle w:val="ParagraphTextBody"/>
      </w:pPr>
      <w:r>
        <w:rPr>
          <w:rStyle w:val="StrongEmphasis"/>
        </w:rPr>
        <w:t>峴港</w:t>
      </w:r>
      <w:r>
        <w:rPr>
          <w:rStyle w:val="StrongEmphasis"/>
        </w:rPr>
        <w:t xml:space="preserve"> (Da Nang)</w:t>
      </w:r>
    </w:p>
    <w:p w14:paraId="45E491AB" w14:textId="61D1E364" w:rsidR="00DF6973" w:rsidRDefault="00755FB6">
      <w:pPr>
        <w:pStyle w:val="a0"/>
      </w:pPr>
      <w:r>
        <w:rPr>
          <w:rStyle w:val="StrongEmphasis"/>
        </w:rPr>
        <w:t>Vincom Plaza Da Nang</w:t>
      </w:r>
      <w:r>
        <w:t xml:space="preserve">: </w:t>
      </w:r>
      <w:r>
        <w:t>這是峴港最大、最現代化的購物中心，位於漢江</w:t>
      </w:r>
      <w:r>
        <w:t>旁，地理位置優越</w:t>
      </w:r>
      <w:r>
        <w:t>[</w:t>
      </w:r>
      <w:hyperlink r:id="rId11">
        <w:r>
          <w:rPr>
            <w:rStyle w:val="ad"/>
          </w:rPr>
          <w:t>17</w:t>
        </w:r>
      </w:hyperlink>
      <w:r>
        <w:t>][</w:t>
      </w:r>
      <w:hyperlink r:id="rId12">
        <w:r>
          <w:rPr>
            <w:rStyle w:val="ad"/>
          </w:rPr>
          <w:t>29</w:t>
        </w:r>
      </w:hyperlink>
      <w:r>
        <w:t>]</w:t>
      </w:r>
      <w:r>
        <w:t>。商場共四層，內有大型超市</w:t>
      </w:r>
      <w:r>
        <w:t>WinMart</w:t>
      </w:r>
      <w:r>
        <w:t>、溜冰場、美食廣場以及各類國際和本地品牌，是遊客和當地居民在炎熱天氣中購物和休閒的理想去處</w:t>
      </w:r>
      <w:r>
        <w:t>。</w:t>
      </w:r>
    </w:p>
    <w:p w14:paraId="6CB5362B" w14:textId="77777777" w:rsidR="00DF6973" w:rsidRDefault="00DF6973">
      <w:pPr>
        <w:pStyle w:val="ParagraphTextBody"/>
      </w:pPr>
    </w:p>
    <w:p w14:paraId="7EEC02C8" w14:textId="77777777" w:rsidR="00DF6973" w:rsidRDefault="00755FB6">
      <w:pPr>
        <w:pStyle w:val="ParagraphTextBody"/>
      </w:pPr>
      <w:r>
        <w:rPr>
          <w:rStyle w:val="StrongEmphasis"/>
        </w:rPr>
        <w:t>越南主要廣場與商場比較</w:t>
      </w:r>
    </w:p>
    <w:tbl>
      <w:tblPr>
        <w:tblW w:w="0" w:type="auto"/>
        <w:tblInd w:w="120" w:type="dxa"/>
        <w:tblBorders>
          <w:top w:val="single" w:sz="2" w:space="0" w:color="000001"/>
          <w:left w:val="single" w:sz="2" w:space="0" w:color="000001"/>
          <w:bottom w:val="single" w:sz="2" w:space="0" w:color="000001"/>
          <w:right w:val="single" w:sz="2" w:space="0" w:color="000001"/>
          <w:insideH w:val="single" w:sz="2" w:space="0" w:color="000001"/>
          <w:insideV w:val="single" w:sz="2" w:space="0" w:color="000001"/>
        </w:tblBorders>
        <w:tblCellMar>
          <w:top w:w="80" w:type="dxa"/>
          <w:left w:w="80" w:type="dxa"/>
          <w:bottom w:w="80" w:type="dxa"/>
          <w:right w:w="80" w:type="dxa"/>
        </w:tblCellMar>
        <w:tblLook w:val="04A0" w:firstRow="1" w:lastRow="0" w:firstColumn="1" w:lastColumn="0" w:noHBand="0" w:noVBand="1"/>
      </w:tblPr>
      <w:tblGrid>
        <w:gridCol w:w="3048"/>
        <w:gridCol w:w="918"/>
        <w:gridCol w:w="1436"/>
        <w:gridCol w:w="4610"/>
      </w:tblGrid>
      <w:tr w:rsidR="00DF6973" w14:paraId="625B3D32" w14:textId="77777777">
        <w:trPr>
          <w:tblHeader/>
        </w:trPr>
        <w:tc>
          <w:tcPr>
            <w:tcW w:w="0" w:type="auto"/>
            <w:shd w:val="clear" w:color="auto" w:fill="DDDDDD"/>
          </w:tcPr>
          <w:p w14:paraId="3F33B9E7" w14:textId="77777777" w:rsidR="00DF6973" w:rsidRDefault="00755FB6">
            <w:pPr>
              <w:pStyle w:val="TableHeading"/>
              <w:jc w:val="left"/>
            </w:pPr>
            <w:r>
              <w:t>廣場</w:t>
            </w:r>
            <w:r>
              <w:t>/</w:t>
            </w:r>
            <w:r>
              <w:t>商場名稱</w:t>
            </w:r>
          </w:p>
        </w:tc>
        <w:tc>
          <w:tcPr>
            <w:tcW w:w="0" w:type="auto"/>
            <w:shd w:val="clear" w:color="auto" w:fill="DDDDDD"/>
          </w:tcPr>
          <w:p w14:paraId="3E6FA783" w14:textId="77777777" w:rsidR="00DF6973" w:rsidRDefault="00755FB6">
            <w:pPr>
              <w:pStyle w:val="TableHeading"/>
              <w:jc w:val="left"/>
            </w:pPr>
            <w:r>
              <w:t>所在城市</w:t>
            </w:r>
          </w:p>
        </w:tc>
        <w:tc>
          <w:tcPr>
            <w:tcW w:w="0" w:type="auto"/>
            <w:shd w:val="clear" w:color="auto" w:fill="DDDDDD"/>
          </w:tcPr>
          <w:p w14:paraId="5C7A2933" w14:textId="77777777" w:rsidR="00DF6973" w:rsidRDefault="00755FB6">
            <w:pPr>
              <w:pStyle w:val="TableHeading"/>
              <w:jc w:val="left"/>
            </w:pPr>
            <w:r>
              <w:t>類型</w:t>
            </w:r>
          </w:p>
        </w:tc>
        <w:tc>
          <w:tcPr>
            <w:tcW w:w="0" w:type="auto"/>
            <w:shd w:val="clear" w:color="auto" w:fill="DDDDDD"/>
          </w:tcPr>
          <w:p w14:paraId="558B76D9" w14:textId="77777777" w:rsidR="00DF6973" w:rsidRDefault="00755FB6">
            <w:pPr>
              <w:pStyle w:val="TableHeading"/>
              <w:jc w:val="left"/>
            </w:pPr>
            <w:r>
              <w:t>主要特色</w:t>
            </w:r>
          </w:p>
        </w:tc>
      </w:tr>
      <w:tr w:rsidR="00DF6973" w14:paraId="50154495" w14:textId="77777777">
        <w:tc>
          <w:tcPr>
            <w:tcW w:w="0" w:type="auto"/>
          </w:tcPr>
          <w:p w14:paraId="61478340" w14:textId="77777777" w:rsidR="00DF6973" w:rsidRDefault="00755FB6">
            <w:pPr>
              <w:pStyle w:val="TableContents"/>
            </w:pPr>
            <w:r>
              <w:rPr>
                <w:rStyle w:val="StrongEmphasis"/>
              </w:rPr>
              <w:t>巴亭廣場</w:t>
            </w:r>
          </w:p>
        </w:tc>
        <w:tc>
          <w:tcPr>
            <w:tcW w:w="0" w:type="auto"/>
          </w:tcPr>
          <w:p w14:paraId="0F831129" w14:textId="77777777" w:rsidR="00DF6973" w:rsidRDefault="00755FB6">
            <w:pPr>
              <w:pStyle w:val="TableContents"/>
            </w:pPr>
            <w:r>
              <w:t>河內</w:t>
            </w:r>
          </w:p>
        </w:tc>
        <w:tc>
          <w:tcPr>
            <w:tcW w:w="0" w:type="auto"/>
          </w:tcPr>
          <w:p w14:paraId="3235FC61" w14:textId="77777777" w:rsidR="00DF6973" w:rsidRDefault="00755FB6">
            <w:pPr>
              <w:pStyle w:val="TableContents"/>
            </w:pPr>
            <w:r>
              <w:t>歷史</w:t>
            </w:r>
            <w:r>
              <w:t>/</w:t>
            </w:r>
            <w:r>
              <w:t>政治廣場</w:t>
            </w:r>
          </w:p>
        </w:tc>
        <w:tc>
          <w:tcPr>
            <w:tcW w:w="0" w:type="auto"/>
          </w:tcPr>
          <w:p w14:paraId="5C1FEEB4" w14:textId="359CF78E" w:rsidR="00DF6973" w:rsidRDefault="00755FB6">
            <w:pPr>
              <w:pStyle w:val="TableContents"/>
            </w:pPr>
            <w:r>
              <w:t>越南獨立宣言發布地、胡志明陵墓所在地、國家儀式中心</w:t>
            </w:r>
          </w:p>
        </w:tc>
      </w:tr>
      <w:tr w:rsidR="00DF6973" w14:paraId="5B2DF76E" w14:textId="77777777">
        <w:tc>
          <w:tcPr>
            <w:tcW w:w="0" w:type="auto"/>
          </w:tcPr>
          <w:p w14:paraId="5AF4F61F" w14:textId="77777777" w:rsidR="00DF6973" w:rsidRDefault="00755FB6">
            <w:pPr>
              <w:pStyle w:val="TableContents"/>
            </w:pPr>
            <w:r>
              <w:rPr>
                <w:rStyle w:val="StrongEmphasis"/>
              </w:rPr>
              <w:t>阮惠街步行廣場</w:t>
            </w:r>
          </w:p>
        </w:tc>
        <w:tc>
          <w:tcPr>
            <w:tcW w:w="0" w:type="auto"/>
          </w:tcPr>
          <w:p w14:paraId="0292F5FB" w14:textId="77777777" w:rsidR="00DF6973" w:rsidRDefault="00755FB6">
            <w:pPr>
              <w:pStyle w:val="TableContents"/>
            </w:pPr>
            <w:r>
              <w:t>胡志明市</w:t>
            </w:r>
          </w:p>
        </w:tc>
        <w:tc>
          <w:tcPr>
            <w:tcW w:w="0" w:type="auto"/>
          </w:tcPr>
          <w:p w14:paraId="5AF3552E" w14:textId="77777777" w:rsidR="00DF6973" w:rsidRDefault="00755FB6">
            <w:pPr>
              <w:pStyle w:val="TableContents"/>
            </w:pPr>
            <w:r>
              <w:t>商業</w:t>
            </w:r>
            <w:r>
              <w:t>/</w:t>
            </w:r>
            <w:r>
              <w:t>步行廣場</w:t>
            </w:r>
          </w:p>
        </w:tc>
        <w:tc>
          <w:tcPr>
            <w:tcW w:w="0" w:type="auto"/>
          </w:tcPr>
          <w:p w14:paraId="4417ABFE" w14:textId="078287B6" w:rsidR="00DF6973" w:rsidRDefault="00755FB6">
            <w:pPr>
              <w:pStyle w:val="TableContents"/>
            </w:pPr>
            <w:r>
              <w:t>現代化公共空間、音樂噴泉、夜生活與商業活動中心</w:t>
            </w:r>
          </w:p>
        </w:tc>
      </w:tr>
      <w:tr w:rsidR="00DF6973" w14:paraId="661C02EE" w14:textId="77777777">
        <w:tc>
          <w:tcPr>
            <w:tcW w:w="0" w:type="auto"/>
          </w:tcPr>
          <w:p w14:paraId="0D7A0DBB" w14:textId="77777777" w:rsidR="00DF6973" w:rsidRDefault="00755FB6">
            <w:pPr>
              <w:pStyle w:val="TableContents"/>
            </w:pPr>
            <w:r>
              <w:rPr>
                <w:rStyle w:val="StrongEmphasis"/>
              </w:rPr>
              <w:t>西貢廣場</w:t>
            </w:r>
          </w:p>
        </w:tc>
        <w:tc>
          <w:tcPr>
            <w:tcW w:w="0" w:type="auto"/>
          </w:tcPr>
          <w:p w14:paraId="1E6D7F73" w14:textId="77777777" w:rsidR="00DF6973" w:rsidRDefault="00755FB6">
            <w:pPr>
              <w:pStyle w:val="TableContents"/>
            </w:pPr>
            <w:r>
              <w:t>胡志明市</w:t>
            </w:r>
          </w:p>
        </w:tc>
        <w:tc>
          <w:tcPr>
            <w:tcW w:w="0" w:type="auto"/>
          </w:tcPr>
          <w:p w14:paraId="69BF2150" w14:textId="77777777" w:rsidR="00DF6973" w:rsidRDefault="00755FB6">
            <w:pPr>
              <w:pStyle w:val="TableContents"/>
            </w:pPr>
            <w:r>
              <w:t>市場式購物中心</w:t>
            </w:r>
          </w:p>
        </w:tc>
        <w:tc>
          <w:tcPr>
            <w:tcW w:w="0" w:type="auto"/>
          </w:tcPr>
          <w:p w14:paraId="646DDF4A" w14:textId="402FDEC8" w:rsidR="00DF6973" w:rsidRDefault="00755FB6">
            <w:pPr>
              <w:pStyle w:val="TableContents"/>
            </w:pPr>
            <w:r>
              <w:t>平價時尚、品牌仿製品、可議價、室內空調環境</w:t>
            </w:r>
          </w:p>
        </w:tc>
      </w:tr>
      <w:tr w:rsidR="00DF6973" w14:paraId="760D8147" w14:textId="77777777">
        <w:tc>
          <w:tcPr>
            <w:tcW w:w="0" w:type="auto"/>
          </w:tcPr>
          <w:p w14:paraId="5BA957A0" w14:textId="77777777" w:rsidR="00DF6973" w:rsidRDefault="00755FB6">
            <w:pPr>
              <w:pStyle w:val="TableContents"/>
            </w:pPr>
            <w:r>
              <w:rPr>
                <w:rStyle w:val="StrongEmphasis"/>
              </w:rPr>
              <w:t>Saigon Centre (Takashimaya)</w:t>
            </w:r>
          </w:p>
        </w:tc>
        <w:tc>
          <w:tcPr>
            <w:tcW w:w="0" w:type="auto"/>
          </w:tcPr>
          <w:p w14:paraId="0A9375F0" w14:textId="77777777" w:rsidR="00DF6973" w:rsidRDefault="00755FB6">
            <w:pPr>
              <w:pStyle w:val="TableContents"/>
            </w:pPr>
            <w:r>
              <w:t>胡志明市</w:t>
            </w:r>
          </w:p>
        </w:tc>
        <w:tc>
          <w:tcPr>
            <w:tcW w:w="0" w:type="auto"/>
          </w:tcPr>
          <w:p w14:paraId="56201F60" w14:textId="77777777" w:rsidR="00DF6973" w:rsidRDefault="00755FB6">
            <w:pPr>
              <w:pStyle w:val="TableContents"/>
            </w:pPr>
            <w:r>
              <w:t>豪華購物中心</w:t>
            </w:r>
          </w:p>
        </w:tc>
        <w:tc>
          <w:tcPr>
            <w:tcW w:w="0" w:type="auto"/>
          </w:tcPr>
          <w:p w14:paraId="29607FA4" w14:textId="366E1DA1" w:rsidR="00DF6973" w:rsidRDefault="00755FB6">
            <w:pPr>
              <w:pStyle w:val="TableContents"/>
            </w:pPr>
            <w:r>
              <w:t>國際頂級品牌、高端購物體驗、現代化設計</w:t>
            </w:r>
          </w:p>
        </w:tc>
      </w:tr>
      <w:tr w:rsidR="00DF6973" w14:paraId="3F48DADA" w14:textId="77777777">
        <w:tc>
          <w:tcPr>
            <w:tcW w:w="0" w:type="auto"/>
          </w:tcPr>
          <w:p w14:paraId="7F2584AA" w14:textId="77777777" w:rsidR="00DF6973" w:rsidRDefault="00755FB6">
            <w:pPr>
              <w:pStyle w:val="TableContents"/>
            </w:pPr>
            <w:r>
              <w:rPr>
                <w:rStyle w:val="StrongEmphasis"/>
              </w:rPr>
              <w:t>Vincom Plaza Da Nang</w:t>
            </w:r>
          </w:p>
        </w:tc>
        <w:tc>
          <w:tcPr>
            <w:tcW w:w="0" w:type="auto"/>
          </w:tcPr>
          <w:p w14:paraId="5D5F61F8" w14:textId="77777777" w:rsidR="00DF6973" w:rsidRDefault="00755FB6">
            <w:pPr>
              <w:pStyle w:val="TableContents"/>
            </w:pPr>
            <w:r>
              <w:t>峴港</w:t>
            </w:r>
          </w:p>
        </w:tc>
        <w:tc>
          <w:tcPr>
            <w:tcW w:w="0" w:type="auto"/>
          </w:tcPr>
          <w:p w14:paraId="2F3E5CCF" w14:textId="77777777" w:rsidR="00DF6973" w:rsidRDefault="00755FB6">
            <w:pPr>
              <w:pStyle w:val="TableContents"/>
            </w:pPr>
            <w:r>
              <w:t>現代購物中心</w:t>
            </w:r>
          </w:p>
        </w:tc>
        <w:tc>
          <w:tcPr>
            <w:tcW w:w="0" w:type="auto"/>
          </w:tcPr>
          <w:p w14:paraId="067B3264" w14:textId="39736A01" w:rsidR="00DF6973" w:rsidRDefault="00755FB6">
            <w:pPr>
              <w:pStyle w:val="TableContents"/>
            </w:pPr>
            <w:r>
              <w:t>峴港最大商場、大型超市、餐飲娛樂設施齊全</w:t>
            </w:r>
          </w:p>
        </w:tc>
      </w:tr>
    </w:tbl>
    <w:p w14:paraId="6900C3B2" w14:textId="057737B5" w:rsidR="00DF6973" w:rsidRDefault="00DF6973" w:rsidP="00755FB6">
      <w:pPr>
        <w:pStyle w:val="a"/>
        <w:numPr>
          <w:ilvl w:val="0"/>
          <w:numId w:val="4"/>
        </w:numPr>
      </w:pPr>
    </w:p>
    <w:sectPr w:rsidR="00DF6973">
      <w:pgSz w:w="12240" w:h="15840"/>
      <w:pgMar w:top="1134" w:right="1134" w:bottom="1134"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Liberation Serif">
    <w:panose1 w:val="02020603050405020304"/>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7385E"/>
    <w:multiLevelType w:val="multilevel"/>
    <w:tmpl w:val="6812F7F0"/>
    <w:lvl w:ilvl="0">
      <w:start w:val="1"/>
      <w:numFmt w:val="decimal"/>
      <w:pStyle w:val="a"/>
      <w:lvlText w:val="%1."/>
      <w:lvlJc w:val="left"/>
      <w:pPr>
        <w:tabs>
          <w:tab w:val="num" w:pos="283"/>
        </w:tabs>
        <w:ind w:left="283" w:hanging="283"/>
      </w:pPr>
    </w:lvl>
    <w:lvl w:ilvl="1">
      <w:start w:val="1"/>
      <w:numFmt w:val="decimal"/>
      <w:lvlText w:val="%2."/>
      <w:lvlJc w:val="left"/>
      <w:pPr>
        <w:tabs>
          <w:tab w:val="num" w:pos="567"/>
        </w:tabs>
        <w:ind w:left="567" w:hanging="283"/>
      </w:pPr>
    </w:lvl>
    <w:lvl w:ilvl="2">
      <w:start w:val="1"/>
      <w:numFmt w:val="decimal"/>
      <w:lvlText w:val="%3."/>
      <w:lvlJc w:val="left"/>
      <w:pPr>
        <w:tabs>
          <w:tab w:val="num" w:pos="850"/>
        </w:tabs>
        <w:ind w:left="850" w:hanging="283"/>
      </w:pPr>
    </w:lvl>
    <w:lvl w:ilvl="3">
      <w:start w:val="1"/>
      <w:numFmt w:val="decimal"/>
      <w:lvlText w:val="%4."/>
      <w:lvlJc w:val="left"/>
      <w:pPr>
        <w:tabs>
          <w:tab w:val="num" w:pos="1134"/>
        </w:tabs>
        <w:ind w:left="1134" w:hanging="283"/>
      </w:pPr>
    </w:lvl>
    <w:lvl w:ilvl="4">
      <w:start w:val="1"/>
      <w:numFmt w:val="decimal"/>
      <w:lvlText w:val="%5."/>
      <w:lvlJc w:val="left"/>
      <w:pPr>
        <w:tabs>
          <w:tab w:val="num" w:pos="1417"/>
        </w:tabs>
        <w:ind w:left="1417" w:hanging="283"/>
      </w:pPr>
    </w:lvl>
    <w:lvl w:ilvl="5">
      <w:start w:val="1"/>
      <w:numFmt w:val="decimal"/>
      <w:lvlText w:val="%6."/>
      <w:lvlJc w:val="left"/>
      <w:pPr>
        <w:tabs>
          <w:tab w:val="num" w:pos="1701"/>
        </w:tabs>
        <w:ind w:left="1701" w:hanging="283"/>
      </w:pPr>
    </w:lvl>
    <w:lvl w:ilvl="6">
      <w:start w:val="1"/>
      <w:numFmt w:val="decimal"/>
      <w:lvlText w:val="%7."/>
      <w:lvlJc w:val="left"/>
      <w:pPr>
        <w:tabs>
          <w:tab w:val="num" w:pos="1984"/>
        </w:tabs>
        <w:ind w:left="1984" w:hanging="283"/>
      </w:pPr>
    </w:lvl>
    <w:lvl w:ilvl="7">
      <w:start w:val="1"/>
      <w:numFmt w:val="decimal"/>
      <w:lvlText w:val="%8."/>
      <w:lvlJc w:val="left"/>
      <w:pPr>
        <w:tabs>
          <w:tab w:val="num" w:pos="2268"/>
        </w:tabs>
        <w:ind w:left="2268" w:hanging="283"/>
      </w:pPr>
    </w:lvl>
    <w:lvl w:ilvl="8">
      <w:start w:val="1"/>
      <w:numFmt w:val="decimal"/>
      <w:lvlText w:val="%9."/>
      <w:lvlJc w:val="left"/>
      <w:pPr>
        <w:tabs>
          <w:tab w:val="num" w:pos="2551"/>
        </w:tabs>
        <w:ind w:left="2551" w:hanging="283"/>
      </w:pPr>
    </w:lvl>
  </w:abstractNum>
  <w:abstractNum w:abstractNumId="1" w15:restartNumberingAfterBreak="0">
    <w:nsid w:val="59DE5674"/>
    <w:multiLevelType w:val="multilevel"/>
    <w:tmpl w:val="E9109D8C"/>
    <w:lvl w:ilvl="0">
      <w:start w:val="1"/>
      <w:numFmt w:val="bullet"/>
      <w:pStyle w:val="a0"/>
      <w:lvlText w:val="•"/>
      <w:lvlJc w:val="left"/>
      <w:pPr>
        <w:tabs>
          <w:tab w:val="num" w:pos="227"/>
        </w:tabs>
        <w:ind w:left="227" w:hanging="227"/>
      </w:pPr>
      <w:rPr>
        <w:rFonts w:cs="OpenSymbol"/>
      </w:rPr>
    </w:lvl>
    <w:lvl w:ilvl="1">
      <w:start w:val="1"/>
      <w:numFmt w:val="bullet"/>
      <w:lvlText w:val="•"/>
      <w:lvlJc w:val="left"/>
      <w:pPr>
        <w:tabs>
          <w:tab w:val="num" w:pos="454"/>
        </w:tabs>
        <w:ind w:left="454" w:hanging="227"/>
      </w:pPr>
      <w:rPr>
        <w:rFonts w:cs="OpenSymbol"/>
      </w:rPr>
    </w:lvl>
    <w:lvl w:ilvl="2">
      <w:start w:val="1"/>
      <w:numFmt w:val="bullet"/>
      <w:lvlText w:val="•"/>
      <w:lvlJc w:val="left"/>
      <w:pPr>
        <w:tabs>
          <w:tab w:val="num" w:pos="680"/>
        </w:tabs>
        <w:ind w:left="680" w:hanging="227"/>
      </w:pPr>
      <w:rPr>
        <w:rFonts w:cs="OpenSymbol"/>
      </w:rPr>
    </w:lvl>
    <w:lvl w:ilvl="3">
      <w:start w:val="1"/>
      <w:numFmt w:val="bullet"/>
      <w:lvlText w:val="•"/>
      <w:lvlJc w:val="left"/>
      <w:pPr>
        <w:tabs>
          <w:tab w:val="num" w:pos="907"/>
        </w:tabs>
        <w:ind w:left="907" w:hanging="227"/>
      </w:pPr>
      <w:rPr>
        <w:rFonts w:cs="OpenSymbol"/>
      </w:rPr>
    </w:lvl>
    <w:lvl w:ilvl="4">
      <w:start w:val="1"/>
      <w:numFmt w:val="bullet"/>
      <w:lvlText w:val="•"/>
      <w:lvlJc w:val="left"/>
      <w:pPr>
        <w:tabs>
          <w:tab w:val="num" w:pos="1134"/>
        </w:tabs>
        <w:ind w:left="1134" w:hanging="227"/>
      </w:pPr>
      <w:rPr>
        <w:rFonts w:cs="OpenSymbol"/>
      </w:rPr>
    </w:lvl>
    <w:lvl w:ilvl="5">
      <w:start w:val="1"/>
      <w:numFmt w:val="bullet"/>
      <w:lvlText w:val="•"/>
      <w:lvlJc w:val="left"/>
      <w:pPr>
        <w:tabs>
          <w:tab w:val="num" w:pos="1361"/>
        </w:tabs>
        <w:ind w:left="1361" w:hanging="227"/>
      </w:pPr>
      <w:rPr>
        <w:rFonts w:cs="OpenSymbol"/>
      </w:rPr>
    </w:lvl>
    <w:lvl w:ilvl="6">
      <w:start w:val="1"/>
      <w:numFmt w:val="bullet"/>
      <w:lvlText w:val="•"/>
      <w:lvlJc w:val="left"/>
      <w:pPr>
        <w:tabs>
          <w:tab w:val="num" w:pos="1587"/>
        </w:tabs>
        <w:ind w:left="1587" w:hanging="227"/>
      </w:pPr>
      <w:rPr>
        <w:rFonts w:cs="OpenSymbol"/>
      </w:rPr>
    </w:lvl>
    <w:lvl w:ilvl="7">
      <w:start w:val="1"/>
      <w:numFmt w:val="bullet"/>
      <w:lvlText w:val="•"/>
      <w:lvlJc w:val="left"/>
      <w:pPr>
        <w:tabs>
          <w:tab w:val="num" w:pos="1814"/>
        </w:tabs>
        <w:ind w:left="1814" w:hanging="227"/>
      </w:pPr>
      <w:rPr>
        <w:rFonts w:cs="OpenSymbol"/>
      </w:rPr>
    </w:lvl>
    <w:lvl w:ilvl="8">
      <w:start w:val="1"/>
      <w:numFmt w:val="bullet"/>
      <w:lvlText w:val="•"/>
      <w:lvlJc w:val="left"/>
      <w:pPr>
        <w:tabs>
          <w:tab w:val="num" w:pos="2041"/>
        </w:tabs>
        <w:ind w:left="2041" w:hanging="227"/>
      </w:pPr>
      <w:rPr>
        <w:rFonts w:cs="OpenSymbol"/>
      </w:rPr>
    </w:lvl>
  </w:abstractNum>
  <w:abstractNum w:abstractNumId="2" w15:restartNumberingAfterBreak="0">
    <w:nsid w:val="684B5883"/>
    <w:multiLevelType w:val="multilevel"/>
    <w:tmpl w:val="AF0CF4F2"/>
    <w:lvl w:ilvl="0">
      <w:start w:val="1"/>
      <w:numFmt w:val="none"/>
      <w:pStyle w:val="1"/>
      <w:suff w:val="nothing"/>
      <w:lvlText w:val=""/>
      <w:lvlJc w:val="left"/>
      <w:pPr>
        <w:ind w:left="0" w:firstLine="0"/>
      </w:pPr>
    </w:lvl>
    <w:lvl w:ilvl="1">
      <w:start w:val="1"/>
      <w:numFmt w:val="none"/>
      <w:pStyle w:val="2"/>
      <w:suff w:val="nothing"/>
      <w:lvlText w:val=""/>
      <w:lvlJc w:val="left"/>
      <w:pPr>
        <w:ind w:left="0" w:firstLine="0"/>
      </w:pPr>
    </w:lvl>
    <w:lvl w:ilvl="2">
      <w:start w:val="1"/>
      <w:numFmt w:val="none"/>
      <w:pStyle w:val="3"/>
      <w:suff w:val="nothing"/>
      <w:lvlText w:val=""/>
      <w:lvlJc w:val="left"/>
      <w:pPr>
        <w:ind w:left="0" w:firstLine="0"/>
      </w:pPr>
    </w:lvl>
    <w:lvl w:ilvl="3">
      <w:start w:val="1"/>
      <w:numFmt w:val="none"/>
      <w:pStyle w:val="4"/>
      <w:suff w:val="nothing"/>
      <w:lvlText w:val=""/>
      <w:lvlJc w:val="left"/>
      <w:pPr>
        <w:ind w:left="0" w:firstLine="0"/>
      </w:pPr>
    </w:lvl>
    <w:lvl w:ilvl="4">
      <w:start w:val="1"/>
      <w:numFmt w:val="none"/>
      <w:pStyle w:val="5"/>
      <w:suff w:val="nothing"/>
      <w:lvlText w:val=""/>
      <w:lvlJc w:val="left"/>
      <w:pPr>
        <w:ind w:left="0" w:firstLine="0"/>
      </w:pPr>
    </w:lvl>
    <w:lvl w:ilvl="5">
      <w:start w:val="1"/>
      <w:numFmt w:val="none"/>
      <w:pStyle w:val="6"/>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abstractNumId w:val="2"/>
  </w:num>
  <w:num w:numId="2">
    <w:abstractNumId w:val="1"/>
  </w:num>
  <w:num w:numId="3">
    <w:abstractNumId w:val="0"/>
  </w: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DF6973"/>
    <w:rsid w:val="0048011A"/>
    <w:rsid w:val="00755FB6"/>
    <w:rsid w:val="00DF69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547D5"/>
  <w15:docId w15:val="{0BDB6926-F1F1-41FC-8A4C-2A79BA5E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sz w:val="24"/>
        <w:szCs w:val="24"/>
        <w:lang w:val="en-CA"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Pr>
      <w:rFonts w:ascii="微軟正黑體" w:eastAsia="微軟正黑體" w:hAnsi="微軟正黑體" w:cs="Times New Roman"/>
      <w:color w:val="00000A"/>
    </w:rPr>
  </w:style>
  <w:style w:type="paragraph" w:styleId="1">
    <w:name w:val="heading 1"/>
    <w:basedOn w:val="Heading"/>
    <w:uiPriority w:val="9"/>
    <w:qFormat/>
    <w:pPr>
      <w:numPr>
        <w:numId w:val="1"/>
      </w:numPr>
      <w:pBdr>
        <w:bottom w:val="single" w:sz="2" w:space="1" w:color="000001"/>
      </w:pBdr>
      <w:spacing w:before="240" w:after="120"/>
      <w:outlineLvl w:val="0"/>
    </w:pPr>
    <w:rPr>
      <w:b/>
      <w:bCs/>
      <w:sz w:val="48"/>
      <w:szCs w:val="48"/>
    </w:rPr>
  </w:style>
  <w:style w:type="paragraph" w:styleId="2">
    <w:name w:val="heading 2"/>
    <w:basedOn w:val="Heading"/>
    <w:uiPriority w:val="9"/>
    <w:unhideWhenUsed/>
    <w:qFormat/>
    <w:pPr>
      <w:numPr>
        <w:ilvl w:val="1"/>
        <w:numId w:val="1"/>
      </w:numPr>
      <w:pBdr>
        <w:bottom w:val="single" w:sz="2" w:space="1" w:color="000001"/>
      </w:pBdr>
      <w:spacing w:before="200" w:after="120"/>
      <w:outlineLvl w:val="1"/>
    </w:pPr>
    <w:rPr>
      <w:b/>
      <w:bCs/>
      <w:sz w:val="42"/>
      <w:szCs w:val="42"/>
    </w:rPr>
  </w:style>
  <w:style w:type="paragraph" w:styleId="3">
    <w:name w:val="heading 3"/>
    <w:basedOn w:val="Heading"/>
    <w:uiPriority w:val="9"/>
    <w:unhideWhenUsed/>
    <w:qFormat/>
    <w:pPr>
      <w:numPr>
        <w:ilvl w:val="2"/>
        <w:numId w:val="1"/>
      </w:numPr>
      <w:spacing w:before="140" w:after="120"/>
      <w:outlineLvl w:val="2"/>
    </w:pPr>
    <w:rPr>
      <w:b/>
      <w:bCs/>
      <w:sz w:val="36"/>
      <w:szCs w:val="36"/>
    </w:rPr>
  </w:style>
  <w:style w:type="paragraph" w:styleId="4">
    <w:name w:val="heading 4"/>
    <w:basedOn w:val="Heading"/>
    <w:uiPriority w:val="9"/>
    <w:semiHidden/>
    <w:unhideWhenUsed/>
    <w:qFormat/>
    <w:pPr>
      <w:numPr>
        <w:ilvl w:val="3"/>
        <w:numId w:val="1"/>
      </w:numPr>
      <w:spacing w:before="120" w:after="120"/>
      <w:outlineLvl w:val="3"/>
    </w:pPr>
    <w:rPr>
      <w:b/>
      <w:bCs/>
      <w:sz w:val="30"/>
      <w:szCs w:val="30"/>
    </w:rPr>
  </w:style>
  <w:style w:type="paragraph" w:styleId="5">
    <w:name w:val="heading 5"/>
    <w:basedOn w:val="Heading"/>
    <w:uiPriority w:val="9"/>
    <w:semiHidden/>
    <w:unhideWhenUsed/>
    <w:qFormat/>
    <w:pPr>
      <w:numPr>
        <w:ilvl w:val="4"/>
        <w:numId w:val="1"/>
      </w:numPr>
      <w:spacing w:before="120" w:after="60"/>
      <w:outlineLvl w:val="4"/>
    </w:pPr>
    <w:rPr>
      <w:b/>
      <w:bCs/>
    </w:rPr>
  </w:style>
  <w:style w:type="paragraph" w:styleId="6">
    <w:name w:val="heading 6"/>
    <w:basedOn w:val="Heading"/>
    <w:uiPriority w:val="9"/>
    <w:semiHidden/>
    <w:unhideWhenUsed/>
    <w:qFormat/>
    <w:pPr>
      <w:numPr>
        <w:ilvl w:val="5"/>
        <w:numId w:val="1"/>
      </w:numPr>
      <w:spacing w:before="60" w:after="60"/>
      <w:outlineLvl w:val="5"/>
    </w:pPr>
    <w:rPr>
      <w:b/>
      <w:i/>
      <w:color w:val="66666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Default">
    <w:name w:val="Default"/>
    <w:basedOn w:val="a1"/>
    <w:qFormat/>
  </w:style>
  <w:style w:type="paragraph" w:styleId="a5">
    <w:name w:val="Body Text"/>
    <w:basedOn w:val="a1"/>
    <w:pPr>
      <w:spacing w:line="288" w:lineRule="auto"/>
    </w:pPr>
  </w:style>
  <w:style w:type="paragraph" w:customStyle="1" w:styleId="Heading">
    <w:name w:val="Heading"/>
    <w:basedOn w:val="a1"/>
    <w:qFormat/>
  </w:style>
  <w:style w:type="paragraph" w:styleId="a6">
    <w:name w:val="TOC Heading"/>
    <w:basedOn w:val="3"/>
    <w:uiPriority w:val="39"/>
    <w:semiHidden/>
    <w:unhideWhenUsed/>
    <w:qFormat/>
    <w:pPr>
      <w:keepNext/>
      <w:keepLines/>
      <w:numPr>
        <w:numId w:val="0"/>
      </w:numPr>
      <w:spacing w:before="480" w:after="0"/>
      <w:outlineLvl w:val="9"/>
    </w:pPr>
  </w:style>
  <w:style w:type="character" w:customStyle="1" w:styleId="StrongEmphasis">
    <w:name w:val="Strong Emphasis"/>
    <w:qFormat/>
    <w:rPr>
      <w:b/>
      <w:bCs/>
    </w:rPr>
  </w:style>
  <w:style w:type="character" w:styleId="a7">
    <w:name w:val="Emphasis"/>
    <w:qFormat/>
    <w:rPr>
      <w:i/>
      <w:iCs/>
    </w:rPr>
  </w:style>
  <w:style w:type="character" w:customStyle="1" w:styleId="Superscript">
    <w:name w:val="Superscript"/>
    <w:qFormat/>
    <w:rPr>
      <w:position w:val="8"/>
      <w:sz w:val="19"/>
    </w:rPr>
  </w:style>
  <w:style w:type="character" w:customStyle="1" w:styleId="Subscript">
    <w:name w:val="Subscript"/>
    <w:qFormat/>
    <w:rPr>
      <w:position w:val="-4"/>
      <w:sz w:val="19"/>
    </w:rPr>
  </w:style>
  <w:style w:type="character" w:customStyle="1" w:styleId="Strikethrough">
    <w:name w:val="Strikethrough"/>
    <w:qFormat/>
    <w:rPr>
      <w:strike/>
    </w:rPr>
  </w:style>
  <w:style w:type="character" w:customStyle="1" w:styleId="Underlined">
    <w:name w:val="Underlined"/>
    <w:qFormat/>
    <w:rPr>
      <w:u w:val="single"/>
    </w:rPr>
  </w:style>
  <w:style w:type="character" w:customStyle="1" w:styleId="SourceText">
    <w:name w:val="Source Text"/>
    <w:qFormat/>
    <w:rPr>
      <w:rFonts w:ascii="Courier New" w:eastAsia="Courier New" w:hAnsi="Courier New" w:cs="Liberation Mono"/>
      <w:color w:val="BB002F"/>
      <w:bdr w:val="single" w:sz="2" w:space="1" w:color="EEC5E1" w:frame="1"/>
      <w:shd w:val="clear" w:color="auto" w:fill="FFF8E6"/>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0">
    <w:name w:val="Heading"/>
    <w:basedOn w:val="a1"/>
    <w:next w:val="a5"/>
    <w:qFormat/>
    <w:pPr>
      <w:keepNext/>
      <w:spacing w:before="240" w:after="120"/>
    </w:pPr>
    <w:rPr>
      <w:rFonts w:ascii="Liberation Sans" w:eastAsia="SimSun" w:hAnsi="Liberation Sans" w:cs="Lucida Sans"/>
      <w:sz w:val="28"/>
      <w:szCs w:val="28"/>
    </w:rPr>
  </w:style>
  <w:style w:type="paragraph" w:styleId="a8">
    <w:name w:val="List"/>
    <w:basedOn w:val="a5"/>
    <w:rPr>
      <w:rFonts w:cs="Lucida Sans"/>
    </w:rPr>
  </w:style>
  <w:style w:type="paragraph" w:styleId="a9">
    <w:name w:val="caption"/>
    <w:basedOn w:val="a1"/>
    <w:qFormat/>
    <w:pPr>
      <w:suppressLineNumbers/>
      <w:spacing w:before="120" w:after="120"/>
    </w:pPr>
    <w:rPr>
      <w:rFonts w:cs="Lucida Sans"/>
      <w:i/>
      <w:iCs/>
    </w:rPr>
  </w:style>
  <w:style w:type="paragraph" w:customStyle="1" w:styleId="Index">
    <w:name w:val="Index"/>
    <w:basedOn w:val="a1"/>
    <w:qFormat/>
    <w:pPr>
      <w:suppressLineNumbers/>
    </w:pPr>
    <w:rPr>
      <w:rFonts w:cs="Lucida Sans"/>
    </w:rPr>
  </w:style>
  <w:style w:type="paragraph" w:customStyle="1" w:styleId="HorizontalLine">
    <w:name w:val="Horizontal Line"/>
    <w:basedOn w:val="a1"/>
    <w:qFormat/>
    <w:pPr>
      <w:suppressLineNumbers/>
      <w:pBdr>
        <w:bottom w:val="single" w:sz="6" w:space="0" w:color="808080"/>
      </w:pBdr>
      <w:spacing w:after="283"/>
    </w:pPr>
    <w:rPr>
      <w:sz w:val="12"/>
      <w:szCs w:val="12"/>
    </w:rPr>
  </w:style>
  <w:style w:type="paragraph" w:customStyle="1" w:styleId="Quotations">
    <w:name w:val="Quotations"/>
    <w:basedOn w:val="a1"/>
    <w:qFormat/>
    <w:pPr>
      <w:pBdr>
        <w:left w:val="single" w:sz="16" w:space="9" w:color="CCCCCC"/>
      </w:pBdr>
      <w:spacing w:before="140" w:after="140"/>
      <w:ind w:left="240"/>
    </w:pPr>
    <w:rPr>
      <w:color w:val="666666"/>
    </w:rPr>
  </w:style>
  <w:style w:type="paragraph" w:customStyle="1" w:styleId="AsideBlock">
    <w:name w:val="AsideBlock"/>
    <w:basedOn w:val="a1"/>
    <w:qFormat/>
    <w:pPr>
      <w:pBdr>
        <w:left w:val="single" w:sz="16" w:space="9" w:color="3366FF"/>
      </w:pBdr>
      <w:spacing w:before="140" w:after="140"/>
      <w:ind w:left="240"/>
    </w:pPr>
  </w:style>
  <w:style w:type="paragraph" w:customStyle="1" w:styleId="PreformattedText">
    <w:name w:val="Preformatted Text"/>
    <w:basedOn w:val="a1"/>
    <w:qFormat/>
    <w:pPr>
      <w:pBdr>
        <w:top w:val="single" w:sz="2" w:space="1" w:color="B2B2B2"/>
        <w:left w:val="single" w:sz="2" w:space="1" w:color="B2B2B2"/>
        <w:bottom w:val="single" w:sz="2" w:space="1" w:color="B2B2B2"/>
        <w:right w:val="single" w:sz="2" w:space="1" w:color="B2B2B2"/>
      </w:pBdr>
      <w:shd w:val="clear" w:color="auto" w:fill="EEEEEE"/>
      <w:spacing w:before="240" w:after="240"/>
      <w:contextualSpacing/>
    </w:pPr>
    <w:rPr>
      <w:rFonts w:ascii="Courier New" w:eastAsia="Courier New" w:hAnsi="Courier New" w:cs="Liberation Mono"/>
      <w:sz w:val="20"/>
      <w:szCs w:val="20"/>
    </w:rPr>
  </w:style>
  <w:style w:type="paragraph" w:customStyle="1" w:styleId="TableContents">
    <w:name w:val="Table Contents"/>
    <w:basedOn w:val="a1"/>
    <w:qFormat/>
    <w:pPr>
      <w:suppressLineNumbers/>
    </w:pPr>
  </w:style>
  <w:style w:type="paragraph" w:customStyle="1" w:styleId="TableHeading">
    <w:name w:val="Table Heading"/>
    <w:basedOn w:val="TableContents"/>
    <w:qFormat/>
    <w:pPr>
      <w:shd w:val="clear" w:color="auto" w:fill="DDDDDD"/>
      <w:jc w:val="center"/>
    </w:pPr>
    <w:rPr>
      <w:b/>
    </w:rPr>
  </w:style>
  <w:style w:type="paragraph" w:customStyle="1" w:styleId="TableCaption">
    <w:name w:val="Table Caption"/>
    <w:basedOn w:val="TableContents"/>
    <w:qFormat/>
    <w:pPr>
      <w:spacing w:before="240" w:after="240"/>
    </w:pPr>
    <w:rPr>
      <w:b/>
      <w:bCs/>
    </w:rPr>
  </w:style>
  <w:style w:type="paragraph" w:customStyle="1" w:styleId="ParagraphTextBody">
    <w:name w:val="Paragraph Text Body"/>
    <w:basedOn w:val="a5"/>
    <w:qFormat/>
    <w:pPr>
      <w:spacing w:before="240" w:after="120"/>
    </w:pPr>
  </w:style>
  <w:style w:type="character" w:styleId="aa">
    <w:name w:val="footnote reference"/>
    <w:rPr>
      <w:vertAlign w:val="superscript"/>
    </w:rPr>
  </w:style>
  <w:style w:type="character" w:styleId="ab">
    <w:name w:val="endnote reference"/>
    <w:unhideWhenUsed/>
    <w:rPr>
      <w:vertAlign w:val="superscript"/>
    </w:rPr>
  </w:style>
  <w:style w:type="paragraph" w:customStyle="1" w:styleId="Index0">
    <w:name w:val="Index"/>
    <w:basedOn w:val="a1"/>
    <w:qFormat/>
    <w:pPr>
      <w:suppressLineNumbers/>
    </w:pPr>
  </w:style>
  <w:style w:type="paragraph" w:styleId="ac">
    <w:name w:val="footnote text"/>
    <w:basedOn w:val="a1"/>
    <w:pPr>
      <w:suppressLineNumbers/>
      <w:ind w:left="240" w:hanging="240"/>
    </w:pPr>
    <w:rPr>
      <w:sz w:val="20"/>
      <w:szCs w:val="20"/>
    </w:rPr>
  </w:style>
  <w:style w:type="character" w:styleId="ad">
    <w:name w:val="Hyperlink"/>
    <w:basedOn w:val="a2"/>
    <w:uiPriority w:val="99"/>
    <w:unhideWhenUsed/>
    <w:rsid w:val="00FC1E75"/>
    <w:rPr>
      <w:color w:val="0563C1" w:themeColor="hyperlink"/>
      <w:u w:val="single"/>
    </w:rPr>
  </w:style>
  <w:style w:type="paragraph" w:styleId="a">
    <w:name w:val="List Number"/>
    <w:basedOn w:val="a1"/>
    <w:uiPriority w:val="99"/>
    <w:unhideWhenUsed/>
    <w:qFormat/>
    <w:rsid w:val="00400E20"/>
    <w:pPr>
      <w:numPr>
        <w:numId w:val="3"/>
      </w:numPr>
      <w:contextualSpacing/>
    </w:pPr>
  </w:style>
  <w:style w:type="paragraph" w:styleId="a0">
    <w:name w:val="List Bullet"/>
    <w:basedOn w:val="a1"/>
    <w:uiPriority w:val="99"/>
    <w:semiHidden/>
    <w:unhideWhenUsed/>
    <w:qFormat/>
    <w:rsid w:val="00C31C4B"/>
    <w:pPr>
      <w:numPr>
        <w:numId w:val="2"/>
      </w:numPr>
      <w:contextualSpacing/>
    </w:pPr>
  </w:style>
  <w:style w:type="character" w:styleId="ae">
    <w:name w:val="Unresolved Mention"/>
    <w:basedOn w:val="a2"/>
    <w:uiPriority w:val="99"/>
    <w:semiHidden/>
    <w:unhideWhenUsed/>
    <w:rsid w:val="00480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hk.trip.com/blog/danang-shoppingmall-sigh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fresh438.pixnet.net/blog/post/45682859" TargetMode="External"/><Relationship Id="rId5" Type="http://schemas.openxmlformats.org/officeDocument/2006/relationships/hyperlink" Target="https://felo.ai/page/preview/WfJoL5MKDKzjk2chEs3z9z?business_type=AGENT_THREAD&amp;invite=2mGKDWERk4xr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antri.com.vn/bat-dong-san/bat-dong-san-quang-truong-bieu-tuong-cua-phong-cach-song-dang-cap-20241114202703804.htm" TargetMode="External"/><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498</Words>
  <Characters>2841</Characters>
  <Application>Microsoft Office Word</Application>
  <DocSecurity>0</DocSecurity>
  <Lines>23</Lines>
  <Paragraphs>6</Paragraphs>
  <ScaleCrop>false</ScaleCrop>
  <Company/>
  <LinksUpToDate>false</LinksUpToDate>
  <CharactersWithSpaces>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蛙蛙 林獻升</cp:lastModifiedBy>
  <cp:revision>3</cp:revision>
  <dcterms:created xsi:type="dcterms:W3CDTF">2025-07-21T07:35:00Z</dcterms:created>
  <dcterms:modified xsi:type="dcterms:W3CDTF">2025-07-21T07:37:00Z</dcterms:modified>
</cp:coreProperties>
</file>