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AA83" w14:textId="77777777" w:rsidR="00CC05B8" w:rsidRPr="00FB46DD" w:rsidRDefault="00000000">
      <w:pPr>
        <w:pStyle w:val="1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中小學科學展覽作品說明書撰寫規範與各項目評析深度報告</w:t>
      </w:r>
    </w:p>
    <w:p w14:paraId="7EFC2F44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一、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導論：科學展覽的教育哲學與學術評估典範</w:t>
      </w:r>
    </w:p>
    <w:p w14:paraId="2BAE2F14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科學展覽（</w:t>
      </w:r>
      <w:r w:rsidRPr="00FB46DD">
        <w:rPr>
          <w:rFonts w:eastAsia="標楷體"/>
          <w:color w:val="1F1F1F"/>
        </w:rPr>
        <w:t>Science Fair</w:t>
      </w:r>
      <w:r w:rsidRPr="00FB46DD">
        <w:rPr>
          <w:rFonts w:eastAsia="標楷體"/>
          <w:color w:val="1F1F1F"/>
        </w:rPr>
        <w:t>）在當代中小學科學教育體系中，扮演著超越常規課堂教學的關鍵角色。其核心教育哲學在於推動典範轉移，引導學生從傳統被動的「知識消費者」（</w:t>
      </w:r>
      <w:r w:rsidRPr="00FB46DD">
        <w:rPr>
          <w:rFonts w:eastAsia="標楷體"/>
          <w:color w:val="1F1F1F"/>
        </w:rPr>
        <w:t>Consumers of Knowledge</w:t>
      </w:r>
      <w:r w:rsidRPr="00FB46DD">
        <w:rPr>
          <w:rFonts w:eastAsia="標楷體"/>
          <w:color w:val="1F1F1F"/>
        </w:rPr>
        <w:t>）轉型為具備獨立思辨、實證操作與問題解決能力的「知識生產者」（</w:t>
      </w:r>
      <w:r w:rsidRPr="00FB46DD">
        <w:rPr>
          <w:rFonts w:eastAsia="標楷體"/>
          <w:color w:val="1F1F1F"/>
        </w:rPr>
        <w:t>Producers of Knowledge</w:t>
      </w:r>
      <w:r w:rsidRPr="00FB46DD">
        <w:rPr>
          <w:rFonts w:eastAsia="標楷體"/>
          <w:color w:val="1F1F1F"/>
        </w:rPr>
        <w:t>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。在這項高度專業化的學術競技中，作品說明書不僅是研究歷程的文字載體，更是檢驗學生科學邏輯、方法論嚴謹度以及學術倫理規範成熟度的終極標準。</w:t>
      </w:r>
    </w:p>
    <w:p w14:paraId="5450D0FB" w14:textId="1DB9D542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一件卓越的科學展覽作品若要在眾多競爭者中脫穎而出，必須滿足三大核心條件：首先，研究主題必須具備實質意義與重要性；其次，作品報告說明書必須展現出高度的完整性與成熟度；最後，研究團隊必須具備清晰流暢的口語與視覺簡報表達能力。為達成上述目標，研究者必須深刻理解評審委員會的評分結構。依據臺北市中小學科學展覽會之規範，評審基準被量化為三大維度，這些維度不僅是給分依據，更是科學研究價值體系的具體展現。</w:t>
      </w:r>
    </w:p>
    <w:p w14:paraId="3B6E084C" w14:textId="77777777" w:rsidR="00CC05B8" w:rsidRPr="00FB46DD" w:rsidRDefault="00CC05B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color w:val="1F1F1F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413"/>
        <w:gridCol w:w="1276"/>
        <w:gridCol w:w="6671"/>
      </w:tblGrid>
      <w:tr w:rsidR="00CC05B8" w:rsidRPr="00FB46DD" w14:paraId="4E69C1DE" w14:textId="77777777" w:rsidTr="00FB46DD">
        <w:tc>
          <w:tcPr>
            <w:tcW w:w="1413" w:type="dxa"/>
          </w:tcPr>
          <w:p w14:paraId="074120A8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評估維度</w:t>
            </w:r>
          </w:p>
        </w:tc>
        <w:tc>
          <w:tcPr>
            <w:tcW w:w="1276" w:type="dxa"/>
          </w:tcPr>
          <w:p w14:paraId="688E86B9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權重配分</w:t>
            </w:r>
          </w:p>
        </w:tc>
        <w:tc>
          <w:tcPr>
            <w:tcW w:w="6671" w:type="dxa"/>
          </w:tcPr>
          <w:p w14:paraId="3ED3622A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核心指標與學術價值分析</w:t>
            </w:r>
          </w:p>
        </w:tc>
      </w:tr>
      <w:tr w:rsidR="00CC05B8" w:rsidRPr="00FB46DD" w14:paraId="6D6B81D5" w14:textId="77777777" w:rsidTr="00FB46DD">
        <w:tc>
          <w:tcPr>
            <w:tcW w:w="1413" w:type="dxa"/>
          </w:tcPr>
          <w:p w14:paraId="4A3F4EF8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創意及貢獻</w:t>
            </w:r>
          </w:p>
        </w:tc>
        <w:tc>
          <w:tcPr>
            <w:tcW w:w="1276" w:type="dxa"/>
          </w:tcPr>
          <w:p w14:paraId="79C55A74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50%</w:t>
            </w:r>
          </w:p>
        </w:tc>
        <w:tc>
          <w:tcPr>
            <w:tcW w:w="6671" w:type="dxa"/>
          </w:tcPr>
          <w:p w14:paraId="232C1698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原創性與影響力：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1F1F1F"/>
              </w:rPr>
              <w:t>探討內容、過程及結果能否發展新觀念、產生新創意，並嚴格符合科學精神。題材需符合學生能力所及的環境事物。實驗結果需具備可重複性（再現性）、後續發展潛力或推廣應用價值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  <w:r w:rsidRPr="00FB46DD">
              <w:rPr>
                <w:rFonts w:eastAsia="標楷體"/>
                <w:color w:val="1F1F1F"/>
              </w:rPr>
              <w:t>。此維度強調科學研究的「拓荒精神」。</w:t>
            </w:r>
          </w:p>
        </w:tc>
      </w:tr>
      <w:tr w:rsidR="00CC05B8" w:rsidRPr="00FB46DD" w14:paraId="7A881908" w14:textId="77777777" w:rsidTr="00FB46DD">
        <w:tc>
          <w:tcPr>
            <w:tcW w:w="1413" w:type="dxa"/>
          </w:tcPr>
          <w:p w14:paraId="5060C68F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內容及專業知識</w:t>
            </w:r>
          </w:p>
        </w:tc>
        <w:tc>
          <w:tcPr>
            <w:tcW w:w="1276" w:type="dxa"/>
          </w:tcPr>
          <w:p w14:paraId="2BAE314B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30%</w:t>
            </w:r>
          </w:p>
        </w:tc>
        <w:tc>
          <w:tcPr>
            <w:tcW w:w="6671" w:type="dxa"/>
          </w:tcPr>
          <w:p w14:paraId="54A5DFD0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方法論的嚴謹性：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1F1F1F"/>
              </w:rPr>
              <w:t>檢視理論依據、科學研究程序的完整性與正確性。包含研究過程中的變因分析、器材操作、實驗步驟，以及資料處理的正確度。推論必須嚴謹精確，且能實質達成研究目的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  <w:r w:rsidRPr="00FB46DD">
              <w:rPr>
                <w:rFonts w:eastAsia="標楷體"/>
                <w:color w:val="1F1F1F"/>
              </w:rPr>
              <w:t>。佐證資料與原始紀錄的確實性亦在此處受到嚴格檢驗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  <w:r w:rsidRPr="00FB46DD">
              <w:rPr>
                <w:rFonts w:eastAsia="標楷體"/>
                <w:color w:val="1F1F1F"/>
              </w:rPr>
              <w:t>。</w:t>
            </w:r>
          </w:p>
        </w:tc>
      </w:tr>
      <w:tr w:rsidR="00CC05B8" w:rsidRPr="00FB46DD" w14:paraId="0C9F5FB5" w14:textId="77777777" w:rsidTr="00FB46DD">
        <w:tc>
          <w:tcPr>
            <w:tcW w:w="1413" w:type="dxa"/>
          </w:tcPr>
          <w:p w14:paraId="52354C6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文字表達及組織</w:t>
            </w:r>
          </w:p>
        </w:tc>
        <w:tc>
          <w:tcPr>
            <w:tcW w:w="1276" w:type="dxa"/>
          </w:tcPr>
          <w:p w14:paraId="61C00478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20%</w:t>
            </w:r>
          </w:p>
        </w:tc>
        <w:tc>
          <w:tcPr>
            <w:tcW w:w="6671" w:type="dxa"/>
          </w:tcPr>
          <w:p w14:paraId="1E786AA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學術溝通的標準化：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1F1F1F"/>
              </w:rPr>
              <w:t>評估作品說明書是否依據規定格式編排，條列分明且排版整齊。圖表、單位、符號之使用是否正確。參考文獻是否完整且清楚註明來源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</w:t>
            </w:r>
            <w:r w:rsidRPr="00FB46DD">
              <w:rPr>
                <w:rFonts w:eastAsia="標楷體"/>
                <w:color w:val="1F1F1F"/>
              </w:rPr>
              <w:t>。此維度反映了研究者對學術社群共同語言的熟稔度與尊重。</w:t>
            </w:r>
          </w:p>
        </w:tc>
      </w:tr>
    </w:tbl>
    <w:p w14:paraId="59276597" w14:textId="77777777" w:rsidR="00CC05B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高達</w:t>
      </w:r>
      <w:r w:rsidRPr="00FB46DD">
        <w:rPr>
          <w:rFonts w:eastAsia="標楷體"/>
          <w:color w:val="1F1F1F"/>
        </w:rPr>
        <w:t xml:space="preserve"> 50% </w:t>
      </w:r>
      <w:r w:rsidRPr="00FB46DD">
        <w:rPr>
          <w:rFonts w:eastAsia="標楷體"/>
          <w:color w:val="1F1F1F"/>
        </w:rPr>
        <w:t>的「創意及貢獻」配分比重揭示了科學展覽的靈魂在於「創新」，但此創新必須受到科學方法（</w:t>
      </w:r>
      <w:r w:rsidRPr="00FB46DD">
        <w:rPr>
          <w:rFonts w:eastAsia="標楷體"/>
          <w:color w:val="1F1F1F"/>
        </w:rPr>
        <w:t xml:space="preserve">30% </w:t>
      </w:r>
      <w:r w:rsidRPr="00FB46DD">
        <w:rPr>
          <w:rFonts w:eastAsia="標楷體"/>
          <w:color w:val="1F1F1F"/>
        </w:rPr>
        <w:t>配分）的制約，並透過標準化的學術格式（</w:t>
      </w:r>
      <w:r w:rsidRPr="00FB46DD">
        <w:rPr>
          <w:rFonts w:eastAsia="標楷體"/>
          <w:color w:val="1F1F1F"/>
        </w:rPr>
        <w:t xml:space="preserve">20% </w:t>
      </w:r>
      <w:r w:rsidRPr="00FB46DD">
        <w:rPr>
          <w:rFonts w:eastAsia="標楷體"/>
          <w:color w:val="1F1F1F"/>
        </w:rPr>
        <w:t>配分）進行傳遞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。本報告將以此評估體系為經緯，針對專案時程管理、研究日誌法理、說明書結構、學術寫作規範以及決審答辯策略進行全面而深度的解析。</w:t>
      </w:r>
    </w:p>
    <w:p w14:paraId="2D38545C" w14:textId="77777777" w:rsidR="00FB46DD" w:rsidRPr="00FB46DD" w:rsidRDefault="00FB46D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</w:p>
    <w:p w14:paraId="57712C98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lastRenderedPageBreak/>
        <w:t>二、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科展研究專案生命週期與跨年度時程管理策略</w:t>
      </w:r>
    </w:p>
    <w:p w14:paraId="2BC89BC9" w14:textId="640B5021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科學研究是一項耗時且充滿變數的系統性工程。從萌生初步構想到最終站上全國乃至國際舞臺進行口頭答辯，往往需要經歷長達半年至一年的專案生命週期。綜合國內外（如美國</w:t>
      </w:r>
      <w:r w:rsidRPr="00FB46DD">
        <w:rPr>
          <w:rFonts w:eastAsia="標楷體"/>
          <w:color w:val="1F1F1F"/>
        </w:rPr>
        <w:t xml:space="preserve"> NCSEF </w:t>
      </w:r>
      <w:r w:rsidRPr="00FB46DD">
        <w:rPr>
          <w:rFonts w:eastAsia="標楷體"/>
          <w:color w:val="1F1F1F"/>
        </w:rPr>
        <w:t>規範與臺灣各縣市科展期程）的實施計畫，一個完備的科展專案生命週期可分為以下階段：</w:t>
      </w:r>
    </w:p>
    <w:p w14:paraId="4A0D3C52" w14:textId="77777777" w:rsidR="00CC05B8" w:rsidRPr="00FB46DD" w:rsidRDefault="00CC05B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color w:val="1F1F1F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696"/>
        <w:gridCol w:w="3261"/>
        <w:gridCol w:w="4403"/>
      </w:tblGrid>
      <w:tr w:rsidR="00CC05B8" w:rsidRPr="00FB46DD" w14:paraId="79D6CE59" w14:textId="77777777" w:rsidTr="00FB46DD">
        <w:tc>
          <w:tcPr>
            <w:tcW w:w="1696" w:type="dxa"/>
          </w:tcPr>
          <w:p w14:paraId="78CFE882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專案階段</w:t>
            </w:r>
          </w:p>
        </w:tc>
        <w:tc>
          <w:tcPr>
            <w:tcW w:w="3261" w:type="dxa"/>
          </w:tcPr>
          <w:p w14:paraId="5B17B172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時程落點（以年度週期為例）</w:t>
            </w:r>
          </w:p>
        </w:tc>
        <w:tc>
          <w:tcPr>
            <w:tcW w:w="4403" w:type="dxa"/>
          </w:tcPr>
          <w:p w14:paraId="36FF43BF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核心任務與里程碑</w:t>
            </w:r>
          </w:p>
        </w:tc>
      </w:tr>
      <w:tr w:rsidR="00CC05B8" w:rsidRPr="00FB46DD" w14:paraId="634D05B7" w14:textId="77777777" w:rsidTr="00FB46DD">
        <w:tc>
          <w:tcPr>
            <w:tcW w:w="1696" w:type="dxa"/>
          </w:tcPr>
          <w:p w14:paraId="40B735FA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萌芽與文獻期</w:t>
            </w:r>
          </w:p>
        </w:tc>
        <w:tc>
          <w:tcPr>
            <w:tcW w:w="3261" w:type="dxa"/>
          </w:tcPr>
          <w:p w14:paraId="4F9E8538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8</w:t>
            </w:r>
            <w:r w:rsidRPr="00FB46DD">
              <w:rPr>
                <w:rFonts w:eastAsia="標楷體"/>
                <w:color w:val="1F1F1F"/>
              </w:rPr>
              <w:t>月至</w:t>
            </w:r>
            <w:r w:rsidRPr="00FB46DD">
              <w:rPr>
                <w:rFonts w:eastAsia="標楷體"/>
                <w:color w:val="1F1F1F"/>
              </w:rPr>
              <w:t xml:space="preserve"> 9</w:t>
            </w:r>
            <w:r w:rsidRPr="00FB46DD">
              <w:rPr>
                <w:rFonts w:eastAsia="標楷體"/>
                <w:color w:val="1F1F1F"/>
              </w:rPr>
              <w:t>月中旬</w:t>
            </w:r>
          </w:p>
        </w:tc>
        <w:tc>
          <w:tcPr>
            <w:tcW w:w="4403" w:type="dxa"/>
          </w:tcPr>
          <w:p w14:paraId="0F69A78A" w14:textId="17DEE834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介紹科學方法與工程設計流程（</w:t>
            </w:r>
            <w:r w:rsidRPr="00FB46DD">
              <w:rPr>
                <w:rFonts w:eastAsia="標楷體"/>
                <w:color w:val="1F1F1F"/>
              </w:rPr>
              <w:t>Engineering Design Process</w:t>
            </w:r>
            <w:r w:rsidRPr="00FB46DD">
              <w:rPr>
                <w:rFonts w:eastAsia="標楷體"/>
                <w:color w:val="1F1F1F"/>
              </w:rPr>
              <w:t>）。進行腦力激盪，確立研究主題。尋找潛在導師，開始撰寫研究日誌，並進行初步文獻探討。</w:t>
            </w:r>
          </w:p>
        </w:tc>
      </w:tr>
      <w:tr w:rsidR="00CC05B8" w:rsidRPr="00FB46DD" w14:paraId="5200F81C" w14:textId="77777777" w:rsidTr="00FB46DD">
        <w:tc>
          <w:tcPr>
            <w:tcW w:w="1696" w:type="dxa"/>
          </w:tcPr>
          <w:p w14:paraId="1CE11A3F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計畫與設計期</w:t>
            </w:r>
          </w:p>
        </w:tc>
        <w:tc>
          <w:tcPr>
            <w:tcW w:w="3261" w:type="dxa"/>
          </w:tcPr>
          <w:p w14:paraId="02B8916C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9</w:t>
            </w:r>
            <w:r w:rsidRPr="00FB46DD">
              <w:rPr>
                <w:rFonts w:eastAsia="標楷體"/>
                <w:color w:val="1F1F1F"/>
              </w:rPr>
              <w:t>月中旬至</w:t>
            </w:r>
            <w:r w:rsidRPr="00FB46DD">
              <w:rPr>
                <w:rFonts w:eastAsia="標楷體"/>
                <w:color w:val="1F1F1F"/>
              </w:rPr>
              <w:t xml:space="preserve"> 10</w:t>
            </w:r>
            <w:r w:rsidRPr="00FB46DD">
              <w:rPr>
                <w:rFonts w:eastAsia="標楷體"/>
                <w:color w:val="1F1F1F"/>
              </w:rPr>
              <w:t>月</w:t>
            </w:r>
          </w:p>
        </w:tc>
        <w:tc>
          <w:tcPr>
            <w:tcW w:w="4403" w:type="dxa"/>
          </w:tcPr>
          <w:p w14:paraId="7DAF87FD" w14:textId="4E15D69B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確立核心科學問題或工程需求。擬定詳細研究計畫與實驗步驟，確認安全性與特殊許可（如化學品管控）。完成所有期初必備表格審查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3</w:t>
            </w:r>
            <w:r w:rsidRPr="00FB46DD">
              <w:rPr>
                <w:rFonts w:eastAsia="標楷體"/>
                <w:color w:val="1F1F1F"/>
              </w:rPr>
              <w:t>。若是報名臺灣國際科學展覽會（</w:t>
            </w:r>
            <w:r w:rsidRPr="00FB46DD">
              <w:rPr>
                <w:rFonts w:eastAsia="標楷體"/>
                <w:color w:val="1F1F1F"/>
              </w:rPr>
              <w:t>TISF</w:t>
            </w:r>
            <w:r w:rsidRPr="00FB46DD">
              <w:rPr>
                <w:rFonts w:eastAsia="標楷體"/>
                <w:color w:val="1F1F1F"/>
              </w:rPr>
              <w:t>），通常需於</w:t>
            </w:r>
            <w:r w:rsidRPr="00FB46DD">
              <w:rPr>
                <w:rFonts w:eastAsia="標楷體"/>
                <w:color w:val="1F1F1F"/>
              </w:rPr>
              <w:t xml:space="preserve"> 10</w:t>
            </w:r>
            <w:r w:rsidRPr="00FB46DD">
              <w:rPr>
                <w:rFonts w:eastAsia="標楷體"/>
                <w:color w:val="1F1F1F"/>
              </w:rPr>
              <w:t>月中下旬完成線上註冊，並於</w:t>
            </w:r>
            <w:r w:rsidRPr="00FB46DD">
              <w:rPr>
                <w:rFonts w:eastAsia="標楷體"/>
                <w:color w:val="1F1F1F"/>
              </w:rPr>
              <w:t xml:space="preserve"> 11</w:t>
            </w:r>
            <w:r w:rsidRPr="00FB46DD">
              <w:rPr>
                <w:rFonts w:eastAsia="標楷體"/>
                <w:color w:val="1F1F1F"/>
              </w:rPr>
              <w:t>月上旬寄送紙本報名表與研究報告進行初審。</w:t>
            </w:r>
          </w:p>
        </w:tc>
      </w:tr>
      <w:tr w:rsidR="00CC05B8" w:rsidRPr="00FB46DD" w14:paraId="5D80EB62" w14:textId="77777777" w:rsidTr="00FB46DD">
        <w:tc>
          <w:tcPr>
            <w:tcW w:w="1696" w:type="dxa"/>
          </w:tcPr>
          <w:p w14:paraId="0A3B3D0A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實證與數據期</w:t>
            </w:r>
          </w:p>
        </w:tc>
        <w:tc>
          <w:tcPr>
            <w:tcW w:w="3261" w:type="dxa"/>
          </w:tcPr>
          <w:p w14:paraId="1DA16D92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10</w:t>
            </w:r>
            <w:r w:rsidRPr="00FB46DD">
              <w:rPr>
                <w:rFonts w:eastAsia="標楷體"/>
                <w:color w:val="1F1F1F"/>
              </w:rPr>
              <w:t>月至</w:t>
            </w:r>
            <w:r w:rsidRPr="00FB46DD">
              <w:rPr>
                <w:rFonts w:eastAsia="標楷體"/>
                <w:color w:val="1F1F1F"/>
              </w:rPr>
              <w:t xml:space="preserve"> 12</w:t>
            </w:r>
            <w:r w:rsidRPr="00FB46DD">
              <w:rPr>
                <w:rFonts w:eastAsia="標楷體"/>
                <w:color w:val="1F1F1F"/>
              </w:rPr>
              <w:t>月</w:t>
            </w:r>
          </w:p>
        </w:tc>
        <w:tc>
          <w:tcPr>
            <w:tcW w:w="4403" w:type="dxa"/>
          </w:tcPr>
          <w:p w14:paraId="54F531B6" w14:textId="6AECA61A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正式執行實驗，持續收集並記錄數據。實施研究日誌定期檢查。初步數據（</w:t>
            </w:r>
            <w:r w:rsidRPr="00FB46DD">
              <w:rPr>
                <w:rFonts w:eastAsia="標楷體"/>
                <w:color w:val="1F1F1F"/>
              </w:rPr>
              <w:t>Preliminary data</w:t>
            </w:r>
            <w:r w:rsidRPr="00FB46DD">
              <w:rPr>
                <w:rFonts w:eastAsia="標楷體"/>
                <w:color w:val="1F1F1F"/>
              </w:rPr>
              <w:t>）產生後，評估是否需要修正研究方法或調整假設。</w:t>
            </w:r>
          </w:p>
        </w:tc>
      </w:tr>
      <w:tr w:rsidR="00CC05B8" w:rsidRPr="00FB46DD" w14:paraId="5BDAAB0B" w14:textId="77777777" w:rsidTr="00FB46DD">
        <w:tc>
          <w:tcPr>
            <w:tcW w:w="1696" w:type="dxa"/>
          </w:tcPr>
          <w:p w14:paraId="35D2E764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分析與撰述期</w:t>
            </w:r>
          </w:p>
        </w:tc>
        <w:tc>
          <w:tcPr>
            <w:tcW w:w="3261" w:type="dxa"/>
          </w:tcPr>
          <w:p w14:paraId="7703CA88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12</w:t>
            </w:r>
            <w:r w:rsidRPr="00FB46DD">
              <w:rPr>
                <w:rFonts w:eastAsia="標楷體"/>
                <w:color w:val="1F1F1F"/>
              </w:rPr>
              <w:t>月至</w:t>
            </w:r>
            <w:r w:rsidRPr="00FB46DD">
              <w:rPr>
                <w:rFonts w:eastAsia="標楷體"/>
                <w:color w:val="1F1F1F"/>
              </w:rPr>
              <w:t xml:space="preserve"> 1</w:t>
            </w:r>
            <w:r w:rsidRPr="00FB46DD">
              <w:rPr>
                <w:rFonts w:eastAsia="標楷體"/>
                <w:color w:val="1F1F1F"/>
              </w:rPr>
              <w:t>月</w:t>
            </w:r>
          </w:p>
        </w:tc>
        <w:tc>
          <w:tcPr>
            <w:tcW w:w="4403" w:type="dxa"/>
          </w:tcPr>
          <w:p w14:paraId="677DB020" w14:textId="75DCE1E6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結束數據收集，進行深度統計分析與圖表繪製。撰寫結論與完整作品說明書。設計展板與摘要，準備報名地方初賽。</w:t>
            </w:r>
          </w:p>
        </w:tc>
      </w:tr>
      <w:tr w:rsidR="00CC05B8" w:rsidRPr="00FB46DD" w14:paraId="17405FFF" w14:textId="77777777" w:rsidTr="00FB46DD">
        <w:tc>
          <w:tcPr>
            <w:tcW w:w="1696" w:type="dxa"/>
          </w:tcPr>
          <w:p w14:paraId="6EE0A2A7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地方初賽與決賽</w:t>
            </w:r>
          </w:p>
        </w:tc>
        <w:tc>
          <w:tcPr>
            <w:tcW w:w="3261" w:type="dxa"/>
          </w:tcPr>
          <w:p w14:paraId="3ACCE2D2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2</w:t>
            </w:r>
            <w:r w:rsidRPr="00FB46DD">
              <w:rPr>
                <w:rFonts w:eastAsia="標楷體"/>
                <w:color w:val="1F1F1F"/>
              </w:rPr>
              <w:t>月至</w:t>
            </w:r>
            <w:r w:rsidRPr="00FB46DD">
              <w:rPr>
                <w:rFonts w:eastAsia="標楷體"/>
                <w:color w:val="1F1F1F"/>
              </w:rPr>
              <w:t xml:space="preserve"> 4</w:t>
            </w:r>
            <w:r w:rsidRPr="00FB46DD">
              <w:rPr>
                <w:rFonts w:eastAsia="標楷體"/>
                <w:color w:val="1F1F1F"/>
              </w:rPr>
              <w:t>月</w:t>
            </w:r>
          </w:p>
        </w:tc>
        <w:tc>
          <w:tcPr>
            <w:tcW w:w="4403" w:type="dxa"/>
          </w:tcPr>
          <w:p w14:paraId="61265965" w14:textId="7F294FD9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各縣市科展啟動。以臺北市與桃園市為例，通常於</w:t>
            </w:r>
            <w:r w:rsidRPr="00FB46DD">
              <w:rPr>
                <w:rFonts w:eastAsia="標楷體"/>
                <w:color w:val="1F1F1F"/>
              </w:rPr>
              <w:t xml:space="preserve"> 2</w:t>
            </w:r>
            <w:r w:rsidRPr="00FB46DD">
              <w:rPr>
                <w:rFonts w:eastAsia="標楷體"/>
                <w:color w:val="1F1F1F"/>
              </w:rPr>
              <w:t>月中下旬進行線上報名，</w:t>
            </w:r>
            <w:r w:rsidRPr="00FB46DD">
              <w:rPr>
                <w:rFonts w:eastAsia="標楷體"/>
                <w:color w:val="1F1F1F"/>
              </w:rPr>
              <w:t>3</w:t>
            </w:r>
            <w:r w:rsidRPr="00FB46DD">
              <w:rPr>
                <w:rFonts w:eastAsia="標楷體"/>
                <w:color w:val="1F1F1F"/>
              </w:rPr>
              <w:t>月進行線上作品說明書初審（書面審），</w:t>
            </w:r>
            <w:r w:rsidRPr="00FB46DD">
              <w:rPr>
                <w:rFonts w:eastAsia="標楷體"/>
                <w:color w:val="1F1F1F"/>
              </w:rPr>
              <w:t>4</w:t>
            </w:r>
            <w:r w:rsidRPr="00FB46DD">
              <w:rPr>
                <w:rFonts w:eastAsia="標楷體"/>
                <w:color w:val="1F1F1F"/>
              </w:rPr>
              <w:t>月中旬辦理現場決賽與安全審查。</w:t>
            </w:r>
          </w:p>
        </w:tc>
      </w:tr>
      <w:tr w:rsidR="00CC05B8" w:rsidRPr="00FB46DD" w14:paraId="30E6F4F2" w14:textId="77777777" w:rsidTr="00FB46DD">
        <w:tc>
          <w:tcPr>
            <w:tcW w:w="1696" w:type="dxa"/>
          </w:tcPr>
          <w:p w14:paraId="1BAF671F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全國與國際賽</w:t>
            </w:r>
          </w:p>
        </w:tc>
        <w:tc>
          <w:tcPr>
            <w:tcW w:w="3261" w:type="dxa"/>
          </w:tcPr>
          <w:p w14:paraId="3313CD8E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5</w:t>
            </w:r>
            <w:r w:rsidRPr="00FB46DD">
              <w:rPr>
                <w:rFonts w:eastAsia="標楷體"/>
                <w:color w:val="1F1F1F"/>
              </w:rPr>
              <w:t>月之後</w:t>
            </w:r>
          </w:p>
        </w:tc>
        <w:tc>
          <w:tcPr>
            <w:tcW w:w="4403" w:type="dxa"/>
          </w:tcPr>
          <w:p w14:paraId="19C18A65" w14:textId="03E6A525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地方科展特優作品將被推薦參加全國中小學科學展覽會，甚至代表國家參與國際科學工程大獎賽（</w:t>
            </w:r>
            <w:r w:rsidRPr="00FB46DD">
              <w:rPr>
                <w:rFonts w:eastAsia="標楷體"/>
                <w:color w:val="1F1F1F"/>
              </w:rPr>
              <w:t>ISEF</w:t>
            </w:r>
            <w:r w:rsidRPr="00FB46DD">
              <w:rPr>
                <w:rFonts w:eastAsia="標楷體"/>
                <w:color w:val="1F1F1F"/>
              </w:rPr>
              <w:t>）等國際賽事。</w:t>
            </w:r>
          </w:p>
        </w:tc>
      </w:tr>
    </w:tbl>
    <w:p w14:paraId="274FC0DB" w14:textId="77777777" w:rsidR="00CC05B8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這套嚴謹的時程表顯示，科展絕非可以在短時間內透過「考前衝刺」完成的任務。特別是在</w:t>
      </w:r>
      <w:r w:rsidRPr="00FB46DD">
        <w:rPr>
          <w:rFonts w:eastAsia="標楷體"/>
          <w:color w:val="1F1F1F"/>
        </w:rPr>
        <w:t xml:space="preserve"> 10</w:t>
      </w:r>
      <w:r w:rsidRPr="00FB46DD">
        <w:rPr>
          <w:rFonts w:eastAsia="標楷體"/>
          <w:color w:val="1F1F1F"/>
        </w:rPr>
        <w:t>月至</w:t>
      </w:r>
      <w:r w:rsidRPr="00FB46DD">
        <w:rPr>
          <w:rFonts w:eastAsia="標楷體"/>
          <w:color w:val="1F1F1F"/>
        </w:rPr>
        <w:t xml:space="preserve"> 12</w:t>
      </w:r>
      <w:r w:rsidRPr="00FB46DD">
        <w:rPr>
          <w:rFonts w:eastAsia="標楷體"/>
          <w:color w:val="1F1F1F"/>
        </w:rPr>
        <w:t>月的實證期，學生往往會遭遇實驗失敗、數據不如預期等挫折。因此，時程管理的精確度，直接決定了後續數據分析與報告撰寫的品質。研究者必須為「失敗與重作」預留充足的時間緩衝。</w:t>
      </w:r>
    </w:p>
    <w:p w14:paraId="28DE21EA" w14:textId="77777777" w:rsidR="00FB46DD" w:rsidRPr="00FB46DD" w:rsidRDefault="00FB46D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</w:p>
    <w:p w14:paraId="39A65C56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lastRenderedPageBreak/>
        <w:t>三、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研究主題策定、命題策略與工程設計視角</w:t>
      </w:r>
    </w:p>
    <w:p w14:paraId="3E3133B9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研究主題的篩選是決定專案成敗的第一個分水嶺。評審委員會在檢視主題時，不僅考量其學術趣味性，更會嚴格審視其適齡性與可行性。</w:t>
      </w:r>
    </w:p>
    <w:p w14:paraId="009A09F1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（一）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主題篩選的七大實務維度</w:t>
      </w:r>
    </w:p>
    <w:p w14:paraId="307C0BD6" w14:textId="483F2DBC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依據實務規範與學術原則，一個合格的科展主題必須通過以下七個維度的檢驗：</w:t>
      </w:r>
    </w:p>
    <w:p w14:paraId="21DEEDCE" w14:textId="7F1E257D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學科與教材相關性：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在國內科展的規範中，研究題目強烈建議由課程教材內容選取並進行延伸。作品說明書中必須詳實填寫「作品與教材單元相關性說明」（註明教材單元名稱），若缺乏此連結，可能被視為不符參賽資格。</w:t>
      </w:r>
    </w:p>
    <w:p w14:paraId="0055CDBF" w14:textId="4BB78F65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學術與社會意義：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研究結果應能解決現實生活中的痛點，或對特定基礎領域產生新的認識。</w:t>
      </w:r>
    </w:p>
    <w:p w14:paraId="76C2C24E" w14:textId="569192F8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創新性（原創性）：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必須避免過度重複前人已充分證實的結論，應尋求引入新的變因、不同的實驗環境或採用跨領域的方法論。</w:t>
      </w:r>
    </w:p>
    <w:p w14:paraId="28A52F73" w14:textId="46740E69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可研究性與可測量性：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這是最重要的科學濾網。問題必須能夠轉化為「可被檢驗的假設」，並能量化出客觀數據。若主題僅能產生主觀論述而無法進行變因控制，則不屬於科學展覽的範疇。</w:t>
      </w:r>
    </w:p>
    <w:p w14:paraId="641A17AE" w14:textId="260D7E5D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研究者內在動機：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漫長的研究過程需要強大的熱情支撐，研究者對主題必須具備真實的興趣。</w:t>
      </w:r>
    </w:p>
    <w:p w14:paraId="580B644C" w14:textId="456249A9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資源與能力可行性：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研究所需的經費、儀器設備、取得文獻的權限，以及實驗所需的時間，必須在中小學生能力所及的範圍之內。過於前沿且依賴國家級實驗室設備的主題，常會引發「代工」的疑慮。</w:t>
      </w:r>
    </w:p>
    <w:p w14:paraId="48139BA3" w14:textId="23C3B8B2" w:rsidR="00CC05B8" w:rsidRPr="00FB46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安全性與學術倫理：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絕對不可觸碰主辦單位明訂的危險化學品、活體動物解剖等禁忌領域。</w:t>
      </w:r>
    </w:p>
    <w:p w14:paraId="3346A8DD" w14:textId="77777777" w:rsidR="00CC05B8" w:rsidRPr="00FB46DD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（二）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科學方法與工程設計流程的雙軌並行</w:t>
      </w:r>
    </w:p>
    <w:p w14:paraId="38C8E84C" w14:textId="49CD5DDE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隨著科展領域的擴展，除了傳統的「科學方法（</w:t>
      </w:r>
      <w:r w:rsidRPr="00FB46DD">
        <w:rPr>
          <w:rFonts w:eastAsia="標楷體"/>
          <w:color w:val="1F1F1F"/>
        </w:rPr>
        <w:t>Scientific Method</w:t>
      </w:r>
      <w:r w:rsidRPr="00FB46DD">
        <w:rPr>
          <w:rFonts w:eastAsia="標楷體"/>
          <w:color w:val="1F1F1F"/>
        </w:rPr>
        <w:t>）」，現代科展亦高度重視「工程設計流程（</w:t>
      </w:r>
      <w:r w:rsidRPr="00FB46DD">
        <w:rPr>
          <w:rFonts w:eastAsia="標楷體"/>
          <w:color w:val="1F1F1F"/>
        </w:rPr>
        <w:t>Engineering Design Process</w:t>
      </w:r>
      <w:r w:rsidRPr="00FB46DD">
        <w:rPr>
          <w:rFonts w:eastAsia="標楷體"/>
          <w:color w:val="1F1F1F"/>
        </w:rPr>
        <w:t>）」。科學方法著重於提出問題、建立假設與變因驗證；而工程類或電腦程式設計類專案，則著重於發現痛點、定義設計標準（</w:t>
      </w:r>
      <w:r w:rsidRPr="00FB46DD">
        <w:rPr>
          <w:rFonts w:eastAsia="標楷體"/>
          <w:color w:val="1F1F1F"/>
        </w:rPr>
        <w:t>Design Criteria</w:t>
      </w:r>
      <w:r w:rsidRPr="00FB46DD">
        <w:rPr>
          <w:rFonts w:eastAsia="標楷體"/>
          <w:color w:val="1F1F1F"/>
        </w:rPr>
        <w:t>）、建立原型（</w:t>
      </w:r>
      <w:r w:rsidRPr="00FB46DD">
        <w:rPr>
          <w:rFonts w:eastAsia="標楷體"/>
          <w:color w:val="1F1F1F"/>
        </w:rPr>
        <w:t>Prototype</w:t>
      </w:r>
      <w:r w:rsidRPr="00FB46DD">
        <w:rPr>
          <w:rFonts w:eastAsia="標楷體"/>
          <w:color w:val="1F1F1F"/>
        </w:rPr>
        <w:t>）並進行效能優化。研究者在撰寫報告時，若屬工程類別，必須明確陳述其是否達成了預設的「設計標準」，這與科學專案檢驗「假設是否成立」具有同等重要的學術地位。</w:t>
      </w:r>
    </w:p>
    <w:p w14:paraId="0E84866D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（三）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標題命名的學術莊重性與精確度</w:t>
      </w:r>
    </w:p>
    <w:p w14:paraId="0D25BCC5" w14:textId="7F7C44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研究主題一旦確定，便需轉化為精煉的「作品名稱」。理想的標題應讓讀者（評審）一看便能大致掌握研究的主題與變因結構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然而，分析歷屆中小學科展作品可發現一種不良趨勢：參賽者（特別是國小組）常濫用諧音字詞或流行語作為作品名稱，例如：「『蚵』『葡』知多少？」（探討蚵殼粉與葡萄藤天然染）、「十月圍城」（探討矩形等差數列）等。從學術審查的角度來</w:t>
      </w:r>
      <w:r w:rsidRPr="00FB46DD">
        <w:rPr>
          <w:rFonts w:eastAsia="標楷體"/>
          <w:color w:val="1F1F1F"/>
        </w:rPr>
        <w:lastRenderedPageBreak/>
        <w:t>看，這被視為缺乏實質意義的文字遊戲，而非真正的科學創意。科學研究旨在求真，真正的創意應表現於科展內容的研究設計與突破，而非標題的譁眾取寵。此外，標題亦應避免過度冗長，並減少濫用不必要的引號「」，以維持學術報告的莊重與客觀性。</w:t>
      </w:r>
    </w:p>
    <w:p w14:paraId="7BC79BBE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四、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探究歷程的法理載體：研究日誌的物理與倫理規範</w:t>
      </w:r>
    </w:p>
    <w:p w14:paraId="33AEC17C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在科學展覽的評核體系中，「研究日誌」（或稱實驗觀察原始紀錄本）具有特殊且無可取代的地位。它既不屬於說明書正文，也不在上傳審查的電子檔之列，但卻是決審現場評審委員查核的最重要憑證。</w:t>
      </w:r>
    </w:p>
    <w:p w14:paraId="52417675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（一）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物理結構的不可篡改性</w:t>
      </w:r>
    </w:p>
    <w:p w14:paraId="346A3A20" w14:textId="4BC86622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為培養學生正確的科學態度與防範學術造假，主辦單位對研究日誌的物理格式實施了極為嚴苛的防偽規範。研究日誌必須是使用「騎馬釘」或「線膠裝訂成冊」的筆記本。絕對禁止使用活頁紙、線圈本或任何可輕易抽換內頁的紀錄媒介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此外，筆記本內頁必須具備連續編排的頁碼。在整個記錄過程中，參賽者絕對不可撕毀或裁切任何一頁。這種物理上的剛性限制，其背後的法理邏輯在於確保研究數據的「時間序列不可逆性」。在科學實驗中，失敗的數據、錯誤的假設或意外的誤差，都是研究歷程的真實資產。保留這些不完美的痕跡，不僅證明了學生的真實參與，更體現了科學家誠實面對數據的最高道德標準。</w:t>
      </w:r>
    </w:p>
    <w:p w14:paraId="6A44AC5F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（二）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紀錄內容的歷時性與詳實性</w:t>
      </w:r>
    </w:p>
    <w:p w14:paraId="6795B50A" w14:textId="1743CE6A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研究日誌必須採用手寫方式，依實驗操作的時間順序，逐日詳實記載。紀錄的範疇不僅限於實驗桌上的操作，舉凡與指導老師的討論、與專家的諮詢互動、文獻閱讀的心得，均應一一載明。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核心的實驗紀錄必須包含：實驗設計草圖、操作步驟、觀測到的原始數據、數學計算方法、過程中遭遇的困難阻礙，以及最終解決困難的方法。這些充滿塗改痕跡、汗水與污漬的原始紀錄，構成了科學研究的「黑盒子」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在評審流程中，參展作品之研究日誌「應攜往評審會場供評審委員現場審閱」，且「請勿將研究日誌送交承辦學校」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。這意味著，一份排版精美、數據毫無瑕疵的說明書，若缺乏一本充滿真實掙扎與試錯痕跡的研究日誌作為佐證，將立即面臨學術誠信的質疑。</w:t>
      </w:r>
    </w:p>
    <w:p w14:paraId="754F3C7D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五、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作品說明書結構與各章節撰寫深度解析</w:t>
      </w:r>
    </w:p>
    <w:p w14:paraId="7BD06AE9" w14:textId="2001274E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學展覽作品說明書是研究成果的最終文字輸出，其不僅要求內容詳實，更要求符合國際通用的學術論文架構。依據主辦單位之綱要，一份標準的說明書應包含以下序列：作品名稱、摘要、關鍵詞、前言、研究工具、研究過程與方法、研究結果、討論、結論、參考文獻及附錄。在國外規範（如美國科展）中，亦強調「變因與假設（</w:t>
      </w:r>
      <w:r w:rsidRPr="00FB46DD">
        <w:rPr>
          <w:rFonts w:eastAsia="標楷體"/>
          <w:color w:val="1F1F1F"/>
        </w:rPr>
        <w:t>Question, variables, and hypothesis</w:t>
      </w:r>
      <w:r w:rsidRPr="00FB46DD">
        <w:rPr>
          <w:rFonts w:eastAsia="標楷體"/>
          <w:color w:val="1F1F1F"/>
        </w:rPr>
        <w:t>）」需有獨立或顯著的版面。以下將針對核心章節進行深度解構。</w:t>
      </w:r>
    </w:p>
    <w:p w14:paraId="05A2753E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（一）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摘要（</w:t>
      </w:r>
      <w:r w:rsidRPr="00FB46DD">
        <w:rPr>
          <w:rFonts w:eastAsia="標楷體"/>
          <w:color w:val="1F1F1F"/>
        </w:rPr>
        <w:t>Abstract</w:t>
      </w:r>
      <w:r w:rsidRPr="00FB46DD">
        <w:rPr>
          <w:rFonts w:eastAsia="標楷體"/>
          <w:color w:val="1F1F1F"/>
        </w:rPr>
        <w:t>）與關鍵詞：微觀的研究全景</w:t>
      </w:r>
    </w:p>
    <w:p w14:paraId="44788418" w14:textId="1D89B0BE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在整份說明書中，唯獨「摘要」是沒有標題序號的章節，這在編排邏輯上象徵著摘要必須具備完全的「獨立性」。摘要不能依附於正文的前後文脈絡，它必須是一篇能獨立閱讀、自成一體的小短文。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字數規定極為嚴格，通常限制在</w:t>
      </w:r>
      <w:r w:rsidRPr="00FB46DD">
        <w:rPr>
          <w:rFonts w:eastAsia="標楷體"/>
          <w:color w:val="1F1F1F"/>
        </w:rPr>
        <w:t xml:space="preserve"> 300 </w:t>
      </w:r>
      <w:r w:rsidRPr="00FB46DD">
        <w:rPr>
          <w:rFonts w:eastAsia="標楷體"/>
          <w:color w:val="1F1F1F"/>
        </w:rPr>
        <w:t>字以內（含標點符號）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。在這極度壓縮的篇幅中，</w:t>
      </w:r>
      <w:r w:rsidRPr="00FB46DD">
        <w:rPr>
          <w:rFonts w:eastAsia="標楷體"/>
          <w:color w:val="1F1F1F"/>
        </w:rPr>
        <w:lastRenderedPageBreak/>
        <w:t>研究者必須精確交代五個核心要素：研究目的、方法與步驟、核心工具、關鍵結果，以及最終的結論（或工程專案是否達成設計標準）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。若借用商業領域的概念，摘要就像是產品的</w:t>
      </w:r>
      <w:r w:rsidRPr="00FB46DD">
        <w:rPr>
          <w:rFonts w:eastAsia="標楷體"/>
          <w:color w:val="1F1F1F"/>
        </w:rPr>
        <w:t xml:space="preserve"> DM</w:t>
      </w:r>
      <w:r w:rsidRPr="00FB46DD">
        <w:rPr>
          <w:rFonts w:eastAsia="標楷體"/>
          <w:color w:val="1F1F1F"/>
        </w:rPr>
        <w:t>（傳單），評審透過這短短的</w:t>
      </w:r>
      <w:r w:rsidRPr="00FB46DD">
        <w:rPr>
          <w:rFonts w:eastAsia="標楷體"/>
          <w:color w:val="1F1F1F"/>
        </w:rPr>
        <w:t xml:space="preserve"> 300 </w:t>
      </w:r>
      <w:r w:rsidRPr="00FB46DD">
        <w:rPr>
          <w:rFonts w:eastAsia="標楷體"/>
          <w:color w:val="1F1F1F"/>
        </w:rPr>
        <w:t>字建立對作品的第一印象；唯有摘要寫得邏輯通透，才能吸引讀者深入探究厚達數十頁的正文。值得注意的是，國際間針對科展報告的篇幅有不同規範，例如某些美國科展偏好極度精簡的</w:t>
      </w:r>
      <w:r w:rsidRPr="00FB46DD">
        <w:rPr>
          <w:rFonts w:eastAsia="標楷體"/>
          <w:color w:val="1F1F1F"/>
        </w:rPr>
        <w:t xml:space="preserve"> 5 </w:t>
      </w:r>
      <w:r w:rsidRPr="00FB46DD">
        <w:rPr>
          <w:rFonts w:eastAsia="標楷體"/>
          <w:color w:val="1F1F1F"/>
        </w:rPr>
        <w:t>頁報告，藉此考驗學生提煉核心資訊的能力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；而臺灣全國科展則給予最高</w:t>
      </w:r>
      <w:r w:rsidRPr="00FB46DD">
        <w:rPr>
          <w:rFonts w:eastAsia="標楷體"/>
          <w:color w:val="1F1F1F"/>
        </w:rPr>
        <w:t xml:space="preserve"> 30 </w:t>
      </w:r>
      <w:r w:rsidRPr="00FB46DD">
        <w:rPr>
          <w:rFonts w:eastAsia="標楷體"/>
          <w:color w:val="1F1F1F"/>
        </w:rPr>
        <w:t>頁的空間，強調論述的完整性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關鍵詞（最多</w:t>
      </w:r>
      <w:r w:rsidRPr="00FB46DD">
        <w:rPr>
          <w:rFonts w:eastAsia="標楷體"/>
          <w:color w:val="1F1F1F"/>
        </w:rPr>
        <w:t xml:space="preserve"> 3 </w:t>
      </w:r>
      <w:r w:rsidRPr="00FB46DD">
        <w:rPr>
          <w:rFonts w:eastAsia="標楷體"/>
          <w:color w:val="1F1F1F"/>
        </w:rPr>
        <w:t>個）則是該研究的核心索引。研究者應避免使用如「研究」、「分析」等太過一般性的字詞，而應精煉出能與該研究領域產生強烈連結的核心概念，以便未來在文獻庫中被精準檢索。</w:t>
      </w:r>
    </w:p>
    <w:p w14:paraId="5E706BE0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（二）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前言與文獻探討：知識傳承與問題定位</w:t>
      </w:r>
    </w:p>
    <w:p w14:paraId="19E76471" w14:textId="5330129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前言（通常編排為「壹、前言」）是說明書正文的起點，其功能如同活動主持人的開場白，旨在引導讀者進入研究情境。前言的篇幅不宜過長，其核心任務是精準闡述「研究動機」與「研究目的」；研究目的建議採用條列式陳述，使評審能快速掌握欲解答的問題焦點。</w:t>
      </w:r>
    </w:p>
    <w:p w14:paraId="5D050463" w14:textId="1BDD3426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科學發展是站在巨人的肩膀上，因此「文獻回顧或探討（</w:t>
      </w:r>
      <w:r w:rsidRPr="00FB46DD">
        <w:rPr>
          <w:rFonts w:eastAsia="標楷體"/>
          <w:color w:val="1F1F1F"/>
        </w:rPr>
        <w:t>Literature Review</w:t>
      </w:r>
      <w:r w:rsidRPr="00FB46DD">
        <w:rPr>
          <w:rFonts w:eastAsia="標楷體"/>
          <w:color w:val="1F1F1F"/>
        </w:rPr>
        <w:t>）」具有承先啟後的關鍵地位。文獻來源應具備學術權威性，包括各級學位論文、期刊（</w:t>
      </w:r>
      <w:r w:rsidRPr="00FB46DD">
        <w:rPr>
          <w:rFonts w:eastAsia="標楷體"/>
          <w:color w:val="1F1F1F"/>
        </w:rPr>
        <w:t>Journal</w:t>
      </w:r>
      <w:r w:rsidRPr="00FB46DD">
        <w:rPr>
          <w:rFonts w:eastAsia="標楷體"/>
          <w:color w:val="1F1F1F"/>
        </w:rPr>
        <w:t>）、研討會論文集或官方文件，並需區分第一手與第二手資料。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撰寫優質的文獻探討需經歷六個系統性步驟：選擇主題、廣泛蒐集學術資訊、分析主要文獻的延伸網絡、總結每篇文章的核心資訊、將文獻概念與自身研究進行關聯，最後辨識不同文獻間的相互關係以建立自身論點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在論述上，文獻探討必須回答三個核心提問：前人的研究欲解決的問題為何？作者是如何進行研究的？最後得出的結論為何？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8</w:t>
      </w:r>
      <w:r w:rsidRPr="00FB46DD">
        <w:rPr>
          <w:rFonts w:eastAsia="標楷體"/>
          <w:color w:val="1F1F1F"/>
        </w:rPr>
        <w:t>。透過分析前人研究的不足或侷限，研究者便能順理成章地引出本研究的「假設」，這正是科學推論的邏輯原點。</w:t>
      </w:r>
    </w:p>
    <w:p w14:paraId="248632CB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（三）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研究工具、過程與方法：建構實證邏輯的基石</w:t>
      </w:r>
    </w:p>
    <w:p w14:paraId="4B574DA4" w14:textId="5B86A945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研究方法章節是評估科學訓練是否紮實的核心區域。此處必須鉅細靡遺地交代主題抽樣策略、研究設計、器材設備、執行流程以及資料分析的方法。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科學實驗的核心在於「變因（</w:t>
      </w:r>
      <w:r w:rsidRPr="00FB46DD">
        <w:rPr>
          <w:rFonts w:eastAsia="標楷體"/>
          <w:color w:val="1F1F1F"/>
        </w:rPr>
        <w:t>Variables</w:t>
      </w:r>
      <w:r w:rsidRPr="00FB46DD">
        <w:rPr>
          <w:rFonts w:eastAsia="標楷體"/>
          <w:color w:val="1F1F1F"/>
        </w:rPr>
        <w:t>）」的嚴密管理。一個完善的實驗設計，必須能清晰界定並操作以下三類變因：</w:t>
      </w:r>
    </w:p>
    <w:p w14:paraId="6F4A79BF" w14:textId="77777777" w:rsidR="00CC05B8" w:rsidRPr="00FB4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操縱變因（</w:t>
      </w:r>
      <w:r w:rsidRPr="00FB46DD">
        <w:rPr>
          <w:rFonts w:eastAsia="標楷體"/>
          <w:b/>
          <w:bCs/>
          <w:color w:val="1F1F1F"/>
        </w:rPr>
        <w:t>Independent Variable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研究者主動且系統性改變的單一條件。</w:t>
      </w:r>
    </w:p>
    <w:p w14:paraId="172D872E" w14:textId="77777777" w:rsidR="00CC05B8" w:rsidRPr="00FB4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控制變因（</w:t>
      </w:r>
      <w:r w:rsidRPr="00FB46DD">
        <w:rPr>
          <w:rFonts w:eastAsia="標楷體"/>
          <w:b/>
          <w:bCs/>
          <w:color w:val="1F1F1F"/>
        </w:rPr>
        <w:t>Controlled Variables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在實驗過程中，為了確保觀測結果的純粹性，必須嚴格保持恆定不變的所有其他外部條件。任何未被妥善控制的干擾變因，都會導致研究結果被宣告無效。</w:t>
      </w:r>
    </w:p>
    <w:p w14:paraId="48A7ADAD" w14:textId="24CC2853" w:rsidR="00CC05B8" w:rsidRPr="00FB46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應變變因（</w:t>
      </w:r>
      <w:r w:rsidRPr="00FB46DD">
        <w:rPr>
          <w:rFonts w:eastAsia="標楷體"/>
          <w:b/>
          <w:bCs/>
          <w:color w:val="1F1F1F"/>
        </w:rPr>
        <w:t>Dependent Variable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隨著操縱變因改變而產生的可測量結果。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者必須遵循「自己提問、自己解答」的邏輯閉環。每一個提出的假設，都必須對應一組專屬的實驗步驟，這就是所謂的研究法。此外，為了確保數據具備統計學上的意義與可信度，任何量化實驗都必須進行至少三次的重複測試（</w:t>
      </w:r>
      <w:r w:rsidRPr="00FB46DD">
        <w:rPr>
          <w:rFonts w:eastAsia="標楷體"/>
          <w:color w:val="1F1F1F"/>
        </w:rPr>
        <w:t>Replicates</w:t>
      </w:r>
      <w:r w:rsidRPr="00FB46DD">
        <w:rPr>
          <w:rFonts w:eastAsia="標楷體"/>
          <w:color w:val="1F1F1F"/>
        </w:rPr>
        <w:t>），並且絕對不能省略「對照組（</w:t>
      </w:r>
      <w:r w:rsidRPr="00FB46DD">
        <w:rPr>
          <w:rFonts w:eastAsia="標楷體"/>
          <w:color w:val="1F1F1F"/>
        </w:rPr>
        <w:t>Control Group</w:t>
      </w:r>
      <w:r w:rsidRPr="00FB46DD">
        <w:rPr>
          <w:rFonts w:eastAsia="標楷體"/>
          <w:color w:val="1F1F1F"/>
        </w:rPr>
        <w:t>）」的設置。缺乏基準線的數據比較在科學上是毫無意義的。</w:t>
      </w:r>
    </w:p>
    <w:p w14:paraId="63BEA800" w14:textId="77777777" w:rsidR="00CC05B8" w:rsidRPr="00FB46DD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（四）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研究結果與討論：事實陳述與邏輯演繹的界線</w:t>
      </w:r>
    </w:p>
    <w:p w14:paraId="24400642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在專業學術期刊中，為求行文流暢，「結果」與「討論」有時會合併敘述；但在科展的綱要版本</w:t>
      </w:r>
      <w:r w:rsidRPr="00FB46DD">
        <w:rPr>
          <w:rFonts w:eastAsia="標楷體"/>
          <w:color w:val="1F1F1F"/>
        </w:rPr>
        <w:lastRenderedPageBreak/>
        <w:t>中，通常被強制要求拆分為「肆、研究結果」與「伍、討論」兩個獨立章節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。這項硬性規定具有深刻的科學教育意義：它強迫學生將「客觀測量到的事實」與「主觀的推論詮釋」嚴格剝離。</w:t>
      </w:r>
    </w:p>
    <w:p w14:paraId="473CC7ED" w14:textId="244C112A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b/>
          <w:bCs/>
          <w:color w:val="1F1F1F"/>
        </w:rPr>
        <w:t>研究結果</w:t>
      </w:r>
      <w:r w:rsidRPr="00FB46DD">
        <w:rPr>
          <w:rFonts w:eastAsia="標楷體"/>
          <w:color w:val="1F1F1F"/>
        </w:rPr>
        <w:t>必須是純粹的客觀闡述。研究者在此階段不應加入任何個人觀點，而是應善用圖表（</w:t>
      </w:r>
      <w:r w:rsidRPr="00FB46DD">
        <w:rPr>
          <w:rFonts w:eastAsia="標楷體"/>
          <w:color w:val="1F1F1F"/>
        </w:rPr>
        <w:t>Tables and Figures</w:t>
      </w:r>
      <w:r w:rsidRPr="00FB46DD">
        <w:rPr>
          <w:rFonts w:eastAsia="標楷體"/>
          <w:color w:val="1F1F1F"/>
        </w:rPr>
        <w:t>）讓數據自我發聲。</w:t>
      </w:r>
    </w:p>
    <w:p w14:paraId="01CEA08D" w14:textId="19F85DBF" w:rsidR="00CC05B8" w:rsidRPr="00FB46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表（</w:t>
      </w:r>
      <w:r w:rsidRPr="00FB46DD">
        <w:rPr>
          <w:rFonts w:eastAsia="標楷體"/>
          <w:b/>
          <w:bCs/>
          <w:color w:val="1F1F1F"/>
        </w:rPr>
        <w:t>Table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功能在於有條理地摘述龐雜的準確數據。在說明書等文字為主的報告中，應以表為主。表的標題必須置於表格「上方」，並給予阿拉伯數字序號（如：表</w:t>
      </w:r>
      <w:r w:rsidRPr="00FB46DD">
        <w:rPr>
          <w:rFonts w:eastAsia="標楷體"/>
          <w:color w:val="1F1F1F"/>
        </w:rPr>
        <w:t xml:space="preserve"> 1</w:t>
      </w:r>
      <w:r w:rsidRPr="00FB46DD">
        <w:rPr>
          <w:rFonts w:eastAsia="標楷體"/>
          <w:color w:val="1F1F1F"/>
        </w:rPr>
        <w:t>）。</w:t>
      </w:r>
    </w:p>
    <w:p w14:paraId="6EF1DF57" w14:textId="42AA150E" w:rsidR="00CC05B8" w:rsidRPr="00FB46D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圖（</w:t>
      </w:r>
      <w:r w:rsidRPr="00FB46DD">
        <w:rPr>
          <w:rFonts w:eastAsia="標楷體"/>
          <w:b/>
          <w:bCs/>
          <w:color w:val="1F1F1F"/>
        </w:rPr>
        <w:t>Figure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包含散佈圖、直方圖或影像照片，其優勢在於展現數據的樣貌與演變趨勢。圖的標題必須置於圖「下方」，同樣使用阿拉伯數字編號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圖表的位置應盡量緊扣內文的敘述段落，以降低評審前後翻閱的認知負荷。值得注意的是，實驗數據的有效位數必須保持高度一致，以展現測量的精確度。</w:t>
      </w:r>
    </w:p>
    <w:p w14:paraId="50120D8F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b/>
          <w:bCs/>
          <w:color w:val="1F1F1F"/>
        </w:rPr>
        <w:t>討論（</w:t>
      </w:r>
      <w:r w:rsidRPr="00FB46DD">
        <w:rPr>
          <w:rFonts w:eastAsia="標楷體"/>
          <w:b/>
          <w:bCs/>
          <w:color w:val="1F1F1F"/>
        </w:rPr>
        <w:t>Discussion</w:t>
      </w:r>
      <w:r w:rsidRPr="00FB46DD">
        <w:rPr>
          <w:rFonts w:eastAsia="標楷體"/>
          <w:b/>
          <w:bCs/>
          <w:color w:val="1F1F1F"/>
        </w:rPr>
        <w:t>）</w:t>
      </w:r>
      <w:r w:rsidRPr="00FB46DD">
        <w:rPr>
          <w:rFonts w:eastAsia="標楷體"/>
          <w:color w:val="1F1F1F"/>
        </w:rPr>
        <w:t>則是科學心智的高階運作。研究者必須針對上述冰冷的數據賦予科學意義。討論的重點包含：</w:t>
      </w:r>
    </w:p>
    <w:p w14:paraId="5F9F0894" w14:textId="77777777" w:rsidR="00CC05B8" w:rsidRPr="00FB46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color w:val="1F1F1F"/>
        </w:rPr>
        <w:t>深入解釋發現的數據現象。</w:t>
      </w:r>
    </w:p>
    <w:p w14:paraId="7319099A" w14:textId="3CA3F09D" w:rsidR="00CC05B8" w:rsidRPr="00FB46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color w:val="1F1F1F"/>
        </w:rPr>
        <w:t>勇敢面對預期落差：將觀測結果與研究目的</w:t>
      </w:r>
      <w:r w:rsidRPr="00FB46DD">
        <w:rPr>
          <w:rFonts w:eastAsia="標楷體"/>
          <w:color w:val="1F1F1F"/>
        </w:rPr>
        <w:t>/</w:t>
      </w:r>
      <w:r w:rsidRPr="00FB46DD">
        <w:rPr>
          <w:rFonts w:eastAsia="標楷體"/>
          <w:color w:val="1F1F1F"/>
        </w:rPr>
        <w:t>預期假設進行比對。若結果與預期出現出入，必須誠實以對並透過文獻尋求合理解釋，絕對不能蓄意隱藏不利數據。隱匿數據涉及嚴重的學術倫理問題。</w:t>
      </w:r>
    </w:p>
    <w:p w14:paraId="2292521B" w14:textId="6DC29C9E" w:rsidR="00CC05B8" w:rsidRPr="00FB46D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color w:val="1F1F1F"/>
        </w:rPr>
        <w:t>比較性對話：將自身的研究結果與文獻探討中同類型的研究進行比對，討論為何得出相同或相異的結果。</w:t>
      </w:r>
    </w:p>
    <w:p w14:paraId="6264A4B5" w14:textId="77777777" w:rsidR="00CC05B8" w:rsidRPr="00FB46DD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（五）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結論與未來展望：理論的昇華</w:t>
      </w:r>
    </w:p>
    <w:p w14:paraId="4A0F97DC" w14:textId="35A56C4A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結論（</w:t>
      </w:r>
      <w:r w:rsidRPr="00FB46DD">
        <w:rPr>
          <w:rFonts w:eastAsia="標楷體"/>
          <w:color w:val="1F1F1F"/>
        </w:rPr>
        <w:t>Conclusion</w:t>
      </w:r>
      <w:r w:rsidRPr="00FB46DD">
        <w:rPr>
          <w:rFonts w:eastAsia="標楷體"/>
          <w:color w:val="1F1F1F"/>
        </w:rPr>
        <w:t>）絕非研究結果的簡單複製與貼上。結論必須是將具體的實驗結果進行歸納後，以更具一般性、宏觀的學術語言所表達出來的終極論述。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例如，若研究結果呈現的是「</w:t>
      </w:r>
      <w:r w:rsidRPr="00FB46DD">
        <w:rPr>
          <w:rFonts w:eastAsia="標楷體"/>
          <w:color w:val="1F1F1F"/>
        </w:rPr>
        <w:t>A</w:t>
      </w:r>
      <w:r w:rsidRPr="00FB46DD">
        <w:rPr>
          <w:rFonts w:eastAsia="標楷體"/>
          <w:color w:val="1F1F1F"/>
        </w:rPr>
        <w:t>組在</w:t>
      </w:r>
      <w:r w:rsidRPr="00FB46DD">
        <w:rPr>
          <w:rFonts w:eastAsia="標楷體"/>
          <w:color w:val="1F1F1F"/>
        </w:rPr>
        <w:t>5</w:t>
      </w:r>
      <w:r w:rsidRPr="00FB46DD">
        <w:rPr>
          <w:rFonts w:eastAsia="標楷體"/>
          <w:color w:val="1F1F1F"/>
        </w:rPr>
        <w:t>項力量檢測中皆優於</w:t>
      </w:r>
      <w:r w:rsidRPr="00FB46DD">
        <w:rPr>
          <w:rFonts w:eastAsia="標楷體"/>
          <w:color w:val="1F1F1F"/>
        </w:rPr>
        <w:t>B</w:t>
      </w:r>
      <w:r w:rsidRPr="00FB46DD">
        <w:rPr>
          <w:rFonts w:eastAsia="標楷體"/>
          <w:color w:val="1F1F1F"/>
        </w:rPr>
        <w:t>組，且達到</w:t>
      </w:r>
      <w:r w:rsidRPr="00FB46DD">
        <w:rPr>
          <w:rFonts w:eastAsia="標楷體"/>
          <w:color w:val="1F1F1F"/>
        </w:rPr>
        <w:t xml:space="preserve">.05 </w:t>
      </w:r>
      <w:r w:rsidRPr="00FB46DD">
        <w:rPr>
          <w:rFonts w:eastAsia="標楷體"/>
          <w:color w:val="1F1F1F"/>
        </w:rPr>
        <w:t>顯著水準」，這屬於微觀事實；而結論則應將其昇華為「</w:t>
      </w:r>
      <w:r w:rsidRPr="00FB46DD">
        <w:rPr>
          <w:rFonts w:eastAsia="標楷體"/>
          <w:color w:val="1F1F1F"/>
        </w:rPr>
        <w:t>A</w:t>
      </w:r>
      <w:r w:rsidRPr="00FB46DD">
        <w:rPr>
          <w:rFonts w:eastAsia="標楷體"/>
          <w:color w:val="1F1F1F"/>
        </w:rPr>
        <w:t>組的整體力量在統計學上顯著大於</w:t>
      </w:r>
      <w:r w:rsidRPr="00FB46DD">
        <w:rPr>
          <w:rFonts w:eastAsia="標楷體"/>
          <w:color w:val="1F1F1F"/>
        </w:rPr>
        <w:t>B</w:t>
      </w:r>
      <w:r w:rsidRPr="00FB46DD">
        <w:rPr>
          <w:rFonts w:eastAsia="標楷體"/>
          <w:color w:val="1F1F1F"/>
        </w:rPr>
        <w:t>組」。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一個負責任的結論，還必須包含對研究邊界的自省。研究者應坦誠說明本次研究在推論或應用上的限制（</w:t>
      </w:r>
      <w:r w:rsidRPr="00FB46DD">
        <w:rPr>
          <w:rFonts w:eastAsia="標楷體"/>
          <w:color w:val="1F1F1F"/>
        </w:rPr>
        <w:t>Limitations</w:t>
      </w:r>
      <w:r w:rsidRPr="00FB46DD">
        <w:rPr>
          <w:rFonts w:eastAsia="標楷體"/>
          <w:color w:val="1F1F1F"/>
        </w:rPr>
        <w:t>），並據此提出對未來後續研究（</w:t>
      </w:r>
      <w:r w:rsidRPr="00FB46DD">
        <w:rPr>
          <w:rFonts w:eastAsia="標楷體"/>
          <w:color w:val="1F1F1F"/>
        </w:rPr>
        <w:t>Ideas for future research</w:t>
      </w:r>
      <w:r w:rsidRPr="00FB46DD">
        <w:rPr>
          <w:rFonts w:eastAsia="標楷體"/>
          <w:color w:val="1F1F1F"/>
        </w:rPr>
        <w:t>）的具體構思與方向。這展現了研究者具備批判性反思的學術素養。</w:t>
      </w:r>
    </w:p>
    <w:p w14:paraId="5341A02C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（六）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附錄與目錄機制</w:t>
      </w:r>
    </w:p>
    <w:p w14:paraId="17AA9C3E" w14:textId="358B83BD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附錄（</w:t>
      </w:r>
      <w:r w:rsidRPr="00FB46DD">
        <w:rPr>
          <w:rFonts w:eastAsia="標楷體"/>
          <w:color w:val="1F1F1F"/>
        </w:rPr>
        <w:t>Appendix</w:t>
      </w:r>
      <w:r w:rsidRPr="00FB46DD">
        <w:rPr>
          <w:rFonts w:eastAsia="標楷體"/>
          <w:color w:val="1F1F1F"/>
        </w:rPr>
        <w:t>）屬於選擇性章節，通常放置於參考文獻之後。當實驗產生了極度龐大但具備佐證價值的原始數據矩陣、程式碼或額外圖表時，若將其放入正文會嚴重干擾閱讀流暢度，便可將其移至附錄呈現。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此外，在編排架構時，需釐清「目次（</w:t>
      </w:r>
      <w:r w:rsidRPr="00FB46DD">
        <w:rPr>
          <w:rFonts w:eastAsia="標楷體"/>
          <w:color w:val="1F1F1F"/>
        </w:rPr>
        <w:t>Table of Contents</w:t>
      </w:r>
      <w:r w:rsidRPr="00FB46DD">
        <w:rPr>
          <w:rFonts w:eastAsia="標楷體"/>
          <w:color w:val="1F1F1F"/>
        </w:rPr>
        <w:t>）」與「目錄（</w:t>
      </w:r>
      <w:r w:rsidRPr="00FB46DD">
        <w:rPr>
          <w:rFonts w:eastAsia="標楷體"/>
          <w:color w:val="1F1F1F"/>
        </w:rPr>
        <w:t>Catalog</w:t>
      </w:r>
      <w:r w:rsidRPr="00FB46DD">
        <w:rPr>
          <w:rFonts w:eastAsia="標楷體"/>
          <w:color w:val="1F1F1F"/>
        </w:rPr>
        <w:t>）」的觀念差異。一份科展說明書本身是一個單一著作的邏輯脈絡集結，因此應使用「目次」；而「目錄」則多用於商品清單或多個獨立著作的彙編。因此，報告首頁的引導頁應命名為目次。</w:t>
      </w:r>
    </w:p>
    <w:p w14:paraId="0738AB5A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lastRenderedPageBreak/>
        <w:t>六、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學術寫作規範、排版美學與學術倫理界線</w:t>
      </w:r>
    </w:p>
    <w:p w14:paraId="24125159" w14:textId="5A6E133C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科展作品說明書的寫作必須摒棄口語化與情緒性的用語，改以冷靜、精準的學術語言（</w:t>
      </w:r>
      <w:r w:rsidRPr="00FB46DD">
        <w:rPr>
          <w:rFonts w:eastAsia="標楷體"/>
          <w:color w:val="1F1F1F"/>
        </w:rPr>
        <w:t>Third-person point of view, formal academic language</w:t>
      </w:r>
      <w:r w:rsidRPr="00FB46DD">
        <w:rPr>
          <w:rFonts w:eastAsia="標楷體"/>
          <w:color w:val="1F1F1F"/>
        </w:rPr>
        <w:t>）進行敘述。專有名詞必須統一使用標準學名，避免任何歧義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。除此之外，排版格式與引用倫理更是不可逾越的紅線。</w:t>
      </w:r>
    </w:p>
    <w:p w14:paraId="6DC778E7" w14:textId="77777777" w:rsidR="00CC05B8" w:rsidRPr="00FB46DD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（一）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剛性的排版與字數限制</w:t>
      </w:r>
    </w:p>
    <w:p w14:paraId="18763141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為確保所有參賽作品在同一基準線上接受審查，主辦單位對說明書的物理維度與排版實施了絕對標準化：</w:t>
      </w:r>
    </w:p>
    <w:p w14:paraId="094C3D58" w14:textId="57082297" w:rsidR="00CC05B8" w:rsidRPr="00FB46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紙張與版面：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一律以</w:t>
      </w:r>
      <w:r w:rsidRPr="00FB46DD">
        <w:rPr>
          <w:rFonts w:eastAsia="標楷體"/>
          <w:color w:val="1F1F1F"/>
        </w:rPr>
        <w:t xml:space="preserve"> A4 </w:t>
      </w:r>
      <w:r w:rsidRPr="00FB46DD">
        <w:rPr>
          <w:rFonts w:eastAsia="標楷體"/>
          <w:color w:val="1F1F1F"/>
        </w:rPr>
        <w:t>大小紙張，由左至右橫式打字。為利於評審批閱，段落行距通常規定設定為</w:t>
      </w:r>
      <w:r w:rsidRPr="00FB46DD">
        <w:rPr>
          <w:rFonts w:eastAsia="標楷體"/>
          <w:color w:val="1F1F1F"/>
        </w:rPr>
        <w:t xml:space="preserve"> 1.5 </w:t>
      </w:r>
      <w:r w:rsidRPr="00FB46DD">
        <w:rPr>
          <w:rFonts w:eastAsia="標楷體"/>
          <w:color w:val="1F1F1F"/>
        </w:rPr>
        <w:t>倍行距。封面不標示頁碼，正文自摘要起由第</w:t>
      </w:r>
      <w:r w:rsidRPr="00FB46DD">
        <w:rPr>
          <w:rFonts w:eastAsia="標楷體"/>
          <w:color w:val="1F1F1F"/>
        </w:rPr>
        <w:t xml:space="preserve"> 1 </w:t>
      </w:r>
      <w:r w:rsidRPr="00FB46DD">
        <w:rPr>
          <w:rFonts w:eastAsia="標楷體"/>
          <w:color w:val="1F1F1F"/>
        </w:rPr>
        <w:t>頁開始編排。</w:t>
      </w:r>
    </w:p>
    <w:p w14:paraId="4CDA0B52" w14:textId="06B0D3A1" w:rsidR="00CC05B8" w:rsidRPr="00FB46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篇幅限制：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依據最新全國科展規範，說明書總頁數以</w:t>
      </w:r>
      <w:r w:rsidRPr="00FB46DD">
        <w:rPr>
          <w:rFonts w:eastAsia="標楷體"/>
          <w:color w:val="1F1F1F"/>
        </w:rPr>
        <w:t xml:space="preserve"> 30 </w:t>
      </w:r>
      <w:r w:rsidRPr="00FB46DD">
        <w:rPr>
          <w:rFonts w:eastAsia="標楷體"/>
          <w:color w:val="1F1F1F"/>
        </w:rPr>
        <w:t>頁為絕對上限（不含封面、封底及目次）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12</w:t>
      </w:r>
      <w:r w:rsidRPr="00FB46DD">
        <w:rPr>
          <w:rFonts w:eastAsia="標楷體"/>
          <w:color w:val="1F1F1F"/>
        </w:rPr>
        <w:t>。在字數方面，實施了「</w:t>
      </w:r>
      <w:r w:rsidRPr="00FB46DD">
        <w:rPr>
          <w:rFonts w:eastAsia="標楷體"/>
          <w:color w:val="1F1F1F"/>
        </w:rPr>
        <w:t xml:space="preserve">7,000 </w:t>
      </w:r>
      <w:r w:rsidRPr="00FB46DD">
        <w:rPr>
          <w:rFonts w:eastAsia="標楷體"/>
          <w:color w:val="1F1F1F"/>
        </w:rPr>
        <w:t>字上限」的嚴格規定。此</w:t>
      </w:r>
      <w:r w:rsidRPr="00FB46DD">
        <w:rPr>
          <w:rFonts w:eastAsia="標楷體"/>
          <w:color w:val="1F1F1F"/>
        </w:rPr>
        <w:t xml:space="preserve"> 7,000 </w:t>
      </w:r>
      <w:r w:rsidRPr="00FB46DD">
        <w:rPr>
          <w:rFonts w:eastAsia="標楷體"/>
          <w:color w:val="1F1F1F"/>
        </w:rPr>
        <w:t>字涵蓋所有文字與標點符號，但人性化地「不包含圖表之內容及其說明文字」。這項規定的用意在於強迫研究者精煉論述，同時鼓勵運用資訊密度更高的圖表來呈現複雜數據。</w:t>
      </w:r>
    </w:p>
    <w:p w14:paraId="63F12506" w14:textId="1BAF10F2" w:rsidR="00CC05B8" w:rsidRPr="00FB46D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標題層次架構：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內文的章節標題必須嚴格依照「壹、一、（一）、</w:t>
      </w:r>
      <w:r w:rsidRPr="00FB46DD">
        <w:rPr>
          <w:rFonts w:eastAsia="標楷體"/>
          <w:color w:val="1F1F1F"/>
        </w:rPr>
        <w:t>1</w:t>
      </w:r>
      <w:r w:rsidRPr="00FB46DD">
        <w:rPr>
          <w:rFonts w:eastAsia="標楷體"/>
          <w:color w:val="1F1F1F"/>
        </w:rPr>
        <w:t>、（</w:t>
      </w:r>
      <w:r w:rsidRPr="00FB46DD">
        <w:rPr>
          <w:rFonts w:eastAsia="標楷體"/>
          <w:color w:val="1F1F1F"/>
        </w:rPr>
        <w:t>1</w:t>
      </w:r>
      <w:r w:rsidRPr="00FB46DD">
        <w:rPr>
          <w:rFonts w:eastAsia="標楷體"/>
          <w:color w:val="1F1F1F"/>
        </w:rPr>
        <w:t>）」的特定次序進行降冪編排。任何不符此規範的標題結構，不僅會破壞閱讀體驗，更會被視為對格式規範的不尊重。</w:t>
      </w:r>
    </w:p>
    <w:p w14:paraId="35264806" w14:textId="77777777" w:rsidR="00CC05B8" w:rsidRPr="00FB46DD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（二）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引用倫理與文獻格式</w:t>
      </w:r>
    </w:p>
    <w:p w14:paraId="18A5D6CA" w14:textId="2C665F5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任何學術論文都不可能無中生有自創而來，參考前人著作必須給予嚴謹的學術歸屬（</w:t>
      </w:r>
      <w:r w:rsidRPr="00FB46DD">
        <w:rPr>
          <w:rFonts w:eastAsia="標楷體"/>
          <w:color w:val="1F1F1F"/>
        </w:rPr>
        <w:t>Attribution</w:t>
      </w:r>
      <w:r w:rsidRPr="00FB46DD">
        <w:rPr>
          <w:rFonts w:eastAsia="標楷體"/>
          <w:color w:val="1F1F1F"/>
        </w:rPr>
        <w:t>）。文獻引用（</w:t>
      </w:r>
      <w:r w:rsidRPr="00FB46DD">
        <w:rPr>
          <w:rFonts w:eastAsia="標楷體"/>
          <w:color w:val="1F1F1F"/>
        </w:rPr>
        <w:t>Citation</w:t>
      </w:r>
      <w:r w:rsidRPr="00FB46DD">
        <w:rPr>
          <w:rFonts w:eastAsia="標楷體"/>
          <w:color w:val="1F1F1F"/>
        </w:rPr>
        <w:t>）分為兩種層次，並需符合領域公認格式（如</w:t>
      </w:r>
      <w:r w:rsidRPr="00FB46DD">
        <w:rPr>
          <w:rFonts w:eastAsia="標楷體"/>
          <w:color w:val="1F1F1F"/>
        </w:rPr>
        <w:t xml:space="preserve"> APA </w:t>
      </w:r>
      <w:r w:rsidRPr="00FB46DD">
        <w:rPr>
          <w:rFonts w:eastAsia="標楷體"/>
          <w:color w:val="1F1F1F"/>
        </w:rPr>
        <w:t>或</w:t>
      </w:r>
      <w:r w:rsidRPr="00FB46DD">
        <w:rPr>
          <w:rFonts w:eastAsia="標楷體"/>
          <w:color w:val="1F1F1F"/>
        </w:rPr>
        <w:t xml:space="preserve"> MLA</w:t>
      </w:r>
      <w:r w:rsidRPr="00FB46DD">
        <w:rPr>
          <w:rFonts w:eastAsia="標楷體"/>
          <w:color w:val="1F1F1F"/>
        </w:rPr>
        <w:t>）：</w:t>
      </w:r>
    </w:p>
    <w:p w14:paraId="2D2DB73C" w14:textId="0A242788" w:rsidR="00CC05B8" w:rsidRPr="00FB46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直接引用（</w:t>
      </w:r>
      <w:r w:rsidRPr="00FB46DD">
        <w:rPr>
          <w:rFonts w:eastAsia="標楷體"/>
          <w:b/>
          <w:bCs/>
          <w:color w:val="1F1F1F"/>
        </w:rPr>
        <w:t>Direct Citation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屬重製行為。當原封不動地抄錄他人文字時，必須加上引號，並在內文中明確標示出處與精確頁碼，格式為：</w:t>
      </w:r>
      <w:r w:rsidRPr="00FB46DD">
        <w:rPr>
          <w:rFonts w:eastAsia="標楷體"/>
          <w:color w:val="1F1F1F"/>
        </w:rPr>
        <w:t>(</w:t>
      </w:r>
      <w:r w:rsidRPr="00FB46DD">
        <w:rPr>
          <w:rFonts w:eastAsia="標楷體"/>
          <w:color w:val="1F1F1F"/>
        </w:rPr>
        <w:t>作者姓名</w:t>
      </w:r>
      <w:r w:rsidRPr="00FB46DD">
        <w:rPr>
          <w:rFonts w:eastAsia="標楷體"/>
          <w:color w:val="1F1F1F"/>
        </w:rPr>
        <w:t xml:space="preserve">, </w:t>
      </w:r>
      <w:r w:rsidRPr="00FB46DD">
        <w:rPr>
          <w:rFonts w:eastAsia="標楷體"/>
          <w:color w:val="1F1F1F"/>
        </w:rPr>
        <w:t>出版年代</w:t>
      </w:r>
      <w:r w:rsidRPr="00FB46DD">
        <w:rPr>
          <w:rFonts w:eastAsia="標楷體"/>
          <w:color w:val="1F1F1F"/>
        </w:rPr>
        <w:t xml:space="preserve">, </w:t>
      </w:r>
      <w:r w:rsidRPr="00FB46DD">
        <w:rPr>
          <w:rFonts w:eastAsia="標楷體"/>
          <w:color w:val="1F1F1F"/>
        </w:rPr>
        <w:t>頁碼</w:t>
      </w:r>
      <w:r w:rsidRPr="00FB46DD">
        <w:rPr>
          <w:rFonts w:eastAsia="標楷體"/>
          <w:color w:val="1F1F1F"/>
        </w:rPr>
        <w:t xml:space="preserve">) </w:t>
      </w:r>
      <w:r w:rsidRPr="00FB46DD">
        <w:rPr>
          <w:rFonts w:eastAsia="標楷體"/>
          <w:color w:val="1F1F1F"/>
        </w:rPr>
        <w:t>。若依據美國心理學會（</w:t>
      </w:r>
      <w:r w:rsidRPr="00FB46DD">
        <w:rPr>
          <w:rFonts w:eastAsia="標楷體"/>
          <w:color w:val="1F1F1F"/>
        </w:rPr>
        <w:t>APA</w:t>
      </w:r>
      <w:r w:rsidRPr="00FB46DD">
        <w:rPr>
          <w:rFonts w:eastAsia="標楷體"/>
          <w:color w:val="1F1F1F"/>
        </w:rPr>
        <w:t>）規範，當引用的外文文字超過</w:t>
      </w:r>
      <w:r w:rsidRPr="00FB46DD">
        <w:rPr>
          <w:rFonts w:eastAsia="標楷體"/>
          <w:color w:val="1F1F1F"/>
        </w:rPr>
        <w:t xml:space="preserve"> 40 </w:t>
      </w:r>
      <w:r w:rsidRPr="00FB46DD">
        <w:rPr>
          <w:rFonts w:eastAsia="標楷體"/>
          <w:color w:val="1F1F1F"/>
        </w:rPr>
        <w:t>個字時，必須將其獨立為一個段落，取消引號，並將左右兩側縮排，以特殊字體處理，藉此與作者自身的行文產生視覺隔離。</w:t>
      </w:r>
    </w:p>
    <w:p w14:paraId="4DDB46F2" w14:textId="53875712" w:rsidR="00CC05B8" w:rsidRPr="00FB46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間接引用（</w:t>
      </w:r>
      <w:r w:rsidRPr="00FB46DD">
        <w:rPr>
          <w:rFonts w:eastAsia="標楷體"/>
          <w:b/>
          <w:bCs/>
          <w:color w:val="1F1F1F"/>
        </w:rPr>
        <w:t>Indirect Citation</w:t>
      </w:r>
      <w:r w:rsidRPr="00FB46DD">
        <w:rPr>
          <w:rFonts w:eastAsia="標楷體"/>
          <w:b/>
          <w:bCs/>
          <w:color w:val="1F1F1F"/>
        </w:rPr>
        <w:t>）：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即改寫（</w:t>
      </w:r>
      <w:r w:rsidRPr="00FB46DD">
        <w:rPr>
          <w:rFonts w:eastAsia="標楷體"/>
          <w:color w:val="1F1F1F"/>
        </w:rPr>
        <w:t>Paraphrasing</w:t>
      </w:r>
      <w:r w:rsidRPr="00FB46DD">
        <w:rPr>
          <w:rFonts w:eastAsia="標楷體"/>
          <w:color w:val="1F1F1F"/>
        </w:rPr>
        <w:t>）。以研究者自身的語言重新詮釋他人的思想與概念，非直接抄錄原文。此情況雖無需加上引號與頁碼，但仍必須明示出處：</w:t>
      </w:r>
      <w:r w:rsidRPr="00FB46DD">
        <w:rPr>
          <w:rFonts w:eastAsia="標楷體"/>
          <w:color w:val="1F1F1F"/>
        </w:rPr>
        <w:t>(</w:t>
      </w:r>
      <w:r w:rsidRPr="00FB46DD">
        <w:rPr>
          <w:rFonts w:eastAsia="標楷體"/>
          <w:color w:val="1F1F1F"/>
        </w:rPr>
        <w:t>作者姓名</w:t>
      </w:r>
      <w:r w:rsidRPr="00FB46DD">
        <w:rPr>
          <w:rFonts w:eastAsia="標楷體"/>
          <w:color w:val="1F1F1F"/>
        </w:rPr>
        <w:t xml:space="preserve">, </w:t>
      </w:r>
      <w:r w:rsidRPr="00FB46DD">
        <w:rPr>
          <w:rFonts w:eastAsia="標楷體"/>
          <w:color w:val="1F1F1F"/>
        </w:rPr>
        <w:t>出版年代</w:t>
      </w:r>
      <w:r w:rsidRPr="00FB46DD">
        <w:rPr>
          <w:rFonts w:eastAsia="標楷體"/>
          <w:color w:val="1F1F1F"/>
        </w:rPr>
        <w:t>)</w:t>
      </w:r>
      <w:r w:rsidRPr="00FB46DD">
        <w:rPr>
          <w:rFonts w:eastAsia="標楷體"/>
          <w:color w:val="1F1F1F"/>
        </w:rPr>
        <w:t>，以對原創作者的著作權表示尊重。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實務上，許多參賽者未能將直接與間接引用分清，此種模糊地帶往往會引發剽竊的疑慮，不可不慎。</w:t>
      </w:r>
    </w:p>
    <w:p w14:paraId="703D9D0F" w14:textId="77777777" w:rsidR="00CC05B8" w:rsidRPr="00FB46DD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（三）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匿名雙盲審查機制與自我剽竊防範</w:t>
      </w:r>
    </w:p>
    <w:p w14:paraId="06BF3EEA" w14:textId="33C9BFFE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為確保學術競賽的絕對公平，阻絕名校光環或明星指導教師帶來的評分偏見，科展實施了極度嚴格的匿名審查機制。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自作品說明書第一頁起，內容「絕對禁止」出現任何可能辨識身分的資訊，包含：校名、作者姓名、校長姓名、指導教師及諮詢專家學者的姓名與任職單位。這項禁令延伸</w:t>
      </w:r>
      <w:r w:rsidRPr="00FB46DD">
        <w:rPr>
          <w:rFonts w:eastAsia="標楷體"/>
          <w:color w:val="1F1F1F"/>
        </w:rPr>
        <w:lastRenderedPageBreak/>
        <w:t>至視覺影像：說明書內附的所有照片與實驗紀錄影像中，絕對不得出現作者或相關指導人員的「臉部」。若需展示操作過程，必須以背影拍攝或進行徹底的馬賽克遮蔽。此外，說明書中引用的所有照片與圖片，皆應詳實註明出處來源，以示客觀。</w:t>
      </w:r>
    </w:p>
    <w:p w14:paraId="71DD5139" w14:textId="492F3CFF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針對持續多年投入同一領域的研究者，大會規定：「已參加其他競賽並獲獎之作品，不得再參加全國中小學科學展覽會」。若本次作品是建立在作者先前已發表的科展研究之上（延續性專案），研究者承擔著舉證責任，必須在說明書中專闢段落，詳實且明確地界定「本次作品的創新部分」以及「自己本次參與研究的具體比重」。隱瞞過去獲獎紀錄或將舊數據重新包裝，等同於學術上的自我剽竊，將面臨撤銷資格的嚴重處分。</w:t>
      </w:r>
    </w:p>
    <w:p w14:paraId="5281FD14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七、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決審現場展示規範與安全禁制法規</w:t>
      </w:r>
    </w:p>
    <w:p w14:paraId="5FD6CE64" w14:textId="5BFB0ACC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在經歷了嚴格的書面審查後，入選決審的作品必須將抽象的文字轉化為實體的「作品說明板」，並於指定時間至大會現場進行佈展與安全審查。臺北市等地方科展通常於</w:t>
      </w:r>
      <w:r w:rsidRPr="00FB46DD">
        <w:rPr>
          <w:rFonts w:eastAsia="標楷體"/>
          <w:color w:val="1F1F1F"/>
        </w:rPr>
        <w:t xml:space="preserve"> 4</w:t>
      </w:r>
      <w:r w:rsidRPr="00FB46DD">
        <w:rPr>
          <w:rFonts w:eastAsia="標楷體"/>
          <w:color w:val="1F1F1F"/>
        </w:rPr>
        <w:t>月中旬舉辦此階段賽事，作者需攜帶海報至現場黏貼，並將彌封的參展資料表浮貼於指定位置。現場不提供任何文具與黏貼工具，考驗團隊的行前整備能力。</w:t>
      </w:r>
    </w:p>
    <w:p w14:paraId="4EB8C245" w14:textId="718C66FB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然而，科展不僅是科學成果的競技場，更是科學倫理與環境安全的教育場域。為保障參展師生、評審及觀展民眾的絕對安全，主辦單位依據《中華民國中小學科學展覽會參展安全規則》，訂定了不容挑戰的「禁止展出事項」清單。</w:t>
      </w:r>
    </w:p>
    <w:p w14:paraId="2101B925" w14:textId="77777777" w:rsidR="00CC05B8" w:rsidRPr="00FB46DD" w:rsidRDefault="00CC05B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color w:val="1F1F1F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413"/>
        <w:gridCol w:w="5386"/>
        <w:gridCol w:w="2561"/>
      </w:tblGrid>
      <w:tr w:rsidR="00CC05B8" w:rsidRPr="00FB46DD" w14:paraId="3AD40637" w14:textId="77777777" w:rsidTr="00FB46DD">
        <w:tc>
          <w:tcPr>
            <w:tcW w:w="1413" w:type="dxa"/>
          </w:tcPr>
          <w:p w14:paraId="5A287F6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禁制類別</w:t>
            </w:r>
          </w:p>
        </w:tc>
        <w:tc>
          <w:tcPr>
            <w:tcW w:w="5386" w:type="dxa"/>
          </w:tcPr>
          <w:p w14:paraId="5EAB9C4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現場嚴格禁止展示之實體與內容清單</w:t>
            </w:r>
          </w:p>
        </w:tc>
        <w:tc>
          <w:tcPr>
            <w:tcW w:w="2561" w:type="dxa"/>
          </w:tcPr>
          <w:p w14:paraId="789658A7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法理與倫理考量</w:t>
            </w:r>
          </w:p>
        </w:tc>
      </w:tr>
      <w:tr w:rsidR="00CC05B8" w:rsidRPr="00FB46DD" w14:paraId="26742C14" w14:textId="77777777" w:rsidTr="00FB46DD">
        <w:tc>
          <w:tcPr>
            <w:tcW w:w="1413" w:type="dxa"/>
          </w:tcPr>
          <w:p w14:paraId="72FF3615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生命科學與動物福利</w:t>
            </w:r>
          </w:p>
        </w:tc>
        <w:tc>
          <w:tcPr>
            <w:tcW w:w="5386" w:type="dxa"/>
          </w:tcPr>
          <w:p w14:paraId="43CAB61F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1. </w:t>
            </w:r>
            <w:r w:rsidRPr="00FB46DD">
              <w:rPr>
                <w:rFonts w:eastAsia="標楷體"/>
                <w:color w:val="1F1F1F"/>
              </w:rPr>
              <w:t>所有活體生物（動植物、胚胎、幼雛、蝌蚪）。</w:t>
            </w:r>
          </w:p>
          <w:p w14:paraId="52B98BB7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3331DE1F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2. </w:t>
            </w:r>
            <w:r w:rsidRPr="00FB46DD">
              <w:rPr>
                <w:rFonts w:eastAsia="標楷體"/>
                <w:color w:val="1F1F1F"/>
              </w:rPr>
              <w:t>動物標本或任何方式保存的脊椎</w:t>
            </w:r>
            <w:r w:rsidRPr="00FB46DD">
              <w:rPr>
                <w:rFonts w:eastAsia="標楷體"/>
                <w:color w:val="1F1F1F"/>
              </w:rPr>
              <w:t>/</w:t>
            </w:r>
            <w:r w:rsidRPr="00FB46DD">
              <w:rPr>
                <w:rFonts w:eastAsia="標楷體"/>
                <w:color w:val="1F1F1F"/>
              </w:rPr>
              <w:t>非脊椎動物遺體。</w:t>
            </w:r>
          </w:p>
          <w:p w14:paraId="1B2321A8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2DCEEE1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3. </w:t>
            </w:r>
            <w:r w:rsidRPr="00FB46DD">
              <w:rPr>
                <w:rFonts w:eastAsia="標楷體"/>
                <w:color w:val="1F1F1F"/>
              </w:rPr>
              <w:t>任何無生命的植物材料。</w:t>
            </w:r>
          </w:p>
          <w:p w14:paraId="768FD950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0790DBC9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4. </w:t>
            </w:r>
            <w:r w:rsidRPr="00FB46DD">
              <w:rPr>
                <w:rFonts w:eastAsia="標楷體"/>
                <w:color w:val="1F1F1F"/>
              </w:rPr>
              <w:t>人類組織（牙齒、毛髮、指甲、細胞、血液、腦脊髓液等）。</w:t>
            </w:r>
          </w:p>
          <w:p w14:paraId="5B4C5BF3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1B706062" w14:textId="5295DB4D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5. </w:t>
            </w:r>
            <w:r w:rsidRPr="00FB46DD">
              <w:rPr>
                <w:rFonts w:eastAsia="標楷體"/>
                <w:b/>
                <w:bCs/>
                <w:color w:val="1F1F1F"/>
              </w:rPr>
              <w:t>包含有殘害動物之虞之圖片或照片</w:t>
            </w:r>
            <w:r w:rsidRPr="00FB46DD">
              <w:rPr>
                <w:rFonts w:eastAsia="標楷體"/>
                <w:color w:val="1F1F1F"/>
              </w:rPr>
              <w:t>。</w:t>
            </w:r>
          </w:p>
        </w:tc>
        <w:tc>
          <w:tcPr>
            <w:tcW w:w="2561" w:type="dxa"/>
          </w:tcPr>
          <w:p w14:paraId="412E40AE" w14:textId="352DE1C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防範傳染病媒介、維護會場衛生，並落實生命教育，杜絕任何不必要之活體解剖或動物虐待展示。</w:t>
            </w:r>
          </w:p>
        </w:tc>
      </w:tr>
      <w:tr w:rsidR="00CC05B8" w:rsidRPr="00FB46DD" w14:paraId="76299716" w14:textId="77777777" w:rsidTr="00FB46DD">
        <w:tc>
          <w:tcPr>
            <w:tcW w:w="1413" w:type="dxa"/>
          </w:tcPr>
          <w:p w14:paraId="51CBBF13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生化危害與物質管制</w:t>
            </w:r>
          </w:p>
        </w:tc>
        <w:tc>
          <w:tcPr>
            <w:tcW w:w="5386" w:type="dxa"/>
          </w:tcPr>
          <w:p w14:paraId="106E248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1. </w:t>
            </w:r>
            <w:r w:rsidRPr="00FB46DD">
              <w:rPr>
                <w:rFonts w:eastAsia="標楷體"/>
                <w:color w:val="1F1F1F"/>
              </w:rPr>
              <w:t>所有一切微生物的試驗步驟與培養結果。</w:t>
            </w:r>
          </w:p>
          <w:p w14:paraId="6C7B3237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4D426183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2. </w:t>
            </w:r>
            <w:r w:rsidRPr="00FB46DD">
              <w:rPr>
                <w:rFonts w:eastAsia="標楷體"/>
                <w:b/>
                <w:bCs/>
                <w:color w:val="1F1F1F"/>
              </w:rPr>
              <w:t>所有化學品（即使是純水亦被禁止）。</w:t>
            </w:r>
          </w:p>
          <w:p w14:paraId="06A3D043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b/>
                <w:bCs/>
                <w:color w:val="1F1F1F"/>
              </w:rPr>
            </w:pPr>
          </w:p>
          <w:p w14:paraId="55793C82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3. </w:t>
            </w:r>
            <w:r w:rsidRPr="00FB46DD">
              <w:rPr>
                <w:rFonts w:eastAsia="標楷體"/>
                <w:color w:val="1F1F1F"/>
              </w:rPr>
              <w:t>乾冰或會昇華變相的固體。</w:t>
            </w:r>
          </w:p>
          <w:p w14:paraId="27131A79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22EB663B" w14:textId="04AF28C9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4. </w:t>
            </w:r>
            <w:r w:rsidRPr="00FB46DD">
              <w:rPr>
                <w:rFonts w:eastAsia="標楷體"/>
                <w:color w:val="1F1F1F"/>
              </w:rPr>
              <w:t>食物、濃酸、濃鹼、易燃物。</w:t>
            </w:r>
          </w:p>
        </w:tc>
        <w:tc>
          <w:tcPr>
            <w:tcW w:w="2561" w:type="dxa"/>
          </w:tcPr>
          <w:p w14:paraId="3BBDA9D8" w14:textId="73ACC93A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>杜絕病原體氣溶膠擴散風險，並確保展場絕對免於化學意外與火災隱患。</w:t>
            </w:r>
          </w:p>
        </w:tc>
      </w:tr>
      <w:tr w:rsidR="00CC05B8" w:rsidRPr="00FB46DD" w14:paraId="5F0C1A6F" w14:textId="77777777" w:rsidTr="00FB46DD">
        <w:tc>
          <w:tcPr>
            <w:tcW w:w="1413" w:type="dxa"/>
          </w:tcPr>
          <w:p w14:paraId="34961C1B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FB46DD">
              <w:rPr>
                <w:rFonts w:eastAsia="標楷體"/>
                <w:b/>
                <w:bCs/>
                <w:color w:val="1F1F1F"/>
              </w:rPr>
              <w:t>物理性危險</w:t>
            </w:r>
            <w:r w:rsidRPr="00FB46DD">
              <w:rPr>
                <w:rFonts w:eastAsia="標楷體"/>
                <w:b/>
                <w:bCs/>
                <w:color w:val="1F1F1F"/>
              </w:rPr>
              <w:lastRenderedPageBreak/>
              <w:t>與心理健康</w:t>
            </w:r>
          </w:p>
        </w:tc>
        <w:tc>
          <w:tcPr>
            <w:tcW w:w="5386" w:type="dxa"/>
          </w:tcPr>
          <w:p w14:paraId="7DC10E0C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lastRenderedPageBreak/>
              <w:t xml:space="preserve">1. </w:t>
            </w:r>
            <w:r w:rsidRPr="00FB46DD">
              <w:rPr>
                <w:rFonts w:eastAsia="標楷體"/>
                <w:color w:val="1F1F1F"/>
              </w:rPr>
              <w:t>尖銳物品（注射器、針、刀、玻璃吸管）。</w:t>
            </w:r>
          </w:p>
          <w:p w14:paraId="7244E52E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58191B75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2. </w:t>
            </w:r>
            <w:r w:rsidRPr="00FB46DD">
              <w:rPr>
                <w:rFonts w:eastAsia="標楷體"/>
                <w:color w:val="1F1F1F"/>
              </w:rPr>
              <w:t>易碎之玻璃或玻璃物質。</w:t>
            </w:r>
          </w:p>
          <w:p w14:paraId="563F3A2F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52A7FF61" w14:textId="77777777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3. </w:t>
            </w:r>
            <w:r w:rsidRPr="00FB46DD">
              <w:rPr>
                <w:rFonts w:eastAsia="標楷體"/>
                <w:color w:val="1F1F1F"/>
              </w:rPr>
              <w:t>土壤、砂、石或廢棄物。</w:t>
            </w:r>
          </w:p>
          <w:p w14:paraId="11FD1212" w14:textId="77777777" w:rsidR="00CC05B8" w:rsidRPr="00FB46DD" w:rsidRDefault="00CC0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</w:p>
          <w:p w14:paraId="34AAEA3F" w14:textId="6299D5FF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t xml:space="preserve">4. </w:t>
            </w:r>
            <w:r w:rsidRPr="00FB46DD">
              <w:rPr>
                <w:rFonts w:eastAsia="標楷體"/>
                <w:b/>
                <w:bCs/>
                <w:color w:val="1F1F1F"/>
              </w:rPr>
              <w:t>實驗過程中有影響觀眾心理或生理健康之虞之圖片、幻燈片</w:t>
            </w:r>
            <w:r w:rsidRPr="00FB46DD">
              <w:rPr>
                <w:rFonts w:eastAsia="標楷體"/>
                <w:color w:val="1F1F1F"/>
              </w:rPr>
              <w:t xml:space="preserve"> </w:t>
            </w:r>
            <w:r w:rsidRPr="00FB46DD">
              <w:rPr>
                <w:rFonts w:eastAsia="標楷體"/>
                <w:color w:val="1F1F1F"/>
              </w:rPr>
              <w:t>。</w:t>
            </w:r>
          </w:p>
        </w:tc>
        <w:tc>
          <w:tcPr>
            <w:tcW w:w="2561" w:type="dxa"/>
          </w:tcPr>
          <w:p w14:paraId="1BE94516" w14:textId="28228BC1" w:rsidR="00CC05B8" w:rsidRPr="00FB46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FB46DD">
              <w:rPr>
                <w:rFonts w:eastAsia="標楷體"/>
                <w:color w:val="1F1F1F"/>
              </w:rPr>
              <w:lastRenderedPageBreak/>
              <w:t>防止展場發生割傷、刺</w:t>
            </w:r>
            <w:r w:rsidRPr="00FB46DD">
              <w:rPr>
                <w:rFonts w:eastAsia="標楷體"/>
                <w:color w:val="1F1F1F"/>
              </w:rPr>
              <w:lastRenderedPageBreak/>
              <w:t>穿等物理傷害。新修訂之心理健康條款更擴大了防護網，避免血腥、驚悚的實驗畫面造成觀展群眾心理創傷。</w:t>
            </w:r>
          </w:p>
        </w:tc>
      </w:tr>
    </w:tbl>
    <w:p w14:paraId="6E5EEC10" w14:textId="0D92857E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lastRenderedPageBreak/>
        <w:t>基於上述涵蓋生、化、物各層面的嚴峻禁令，現場展示的核心原則是：</w:t>
      </w:r>
      <w:r w:rsidRPr="00FB46DD">
        <w:rPr>
          <w:rFonts w:eastAsia="標楷體"/>
          <w:b/>
          <w:bCs/>
          <w:color w:val="1F1F1F"/>
        </w:rPr>
        <w:t>「所有的實驗操作與實體成果，必須且只能以繪圖、圖表、照片或影片等視覺化多媒體方式展出」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。若作品未通過佈展首日的安全審查，大會將立即公告未通過名單，參賽者必須在極短的指定時間內完成修改與撤除違規品，否則將喪失後續初審與決審的資格。</w:t>
      </w:r>
    </w:p>
    <w:p w14:paraId="4A93168D" w14:textId="77777777" w:rsidR="00CC05B8" w:rsidRPr="00FB46DD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八、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決審口頭答辯與展板報告策略</w:t>
      </w:r>
    </w:p>
    <w:p w14:paraId="07D4F8EA" w14:textId="36D480CF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科學研究的最後一哩路，是面對學術同儕與評審委員進行答辯（</w:t>
      </w:r>
      <w:r w:rsidRPr="00FB46DD">
        <w:rPr>
          <w:rFonts w:eastAsia="標楷體"/>
          <w:color w:val="1F1F1F"/>
        </w:rPr>
        <w:t>Oral Defense</w:t>
      </w:r>
      <w:r w:rsidRPr="00FB46DD">
        <w:rPr>
          <w:rFonts w:eastAsia="標楷體"/>
          <w:color w:val="1F1F1F"/>
        </w:rPr>
        <w:t>）。這不僅檢驗研究內容的深度，更考驗學生的知識內化程度與臨場反應。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依據實務經驗，海報前的口頭報告時間通常極為緊湊，約限制在</w:t>
      </w:r>
      <w:r w:rsidRPr="00FB46DD">
        <w:rPr>
          <w:rFonts w:eastAsia="標楷體"/>
          <w:color w:val="1F1F1F"/>
        </w:rPr>
        <w:t xml:space="preserve"> 5 </w:t>
      </w:r>
      <w:r w:rsidRPr="00FB46DD">
        <w:rPr>
          <w:rFonts w:eastAsia="標楷體"/>
          <w:color w:val="1F1F1F"/>
        </w:rPr>
        <w:t>至</w:t>
      </w:r>
      <w:r w:rsidRPr="00FB46DD">
        <w:rPr>
          <w:rFonts w:eastAsia="標楷體"/>
          <w:color w:val="1F1F1F"/>
        </w:rPr>
        <w:t xml:space="preserve"> 10 </w:t>
      </w:r>
      <w:r w:rsidRPr="00FB46DD">
        <w:rPr>
          <w:rFonts w:eastAsia="標楷體"/>
          <w:color w:val="1F1F1F"/>
        </w:rPr>
        <w:t>分鐘之間。在這短暫的時間視窗內，評審必須消化龐大的資訊，因此簡報策略至關重要。</w:t>
      </w:r>
    </w:p>
    <w:p w14:paraId="105DECBF" w14:textId="77777777" w:rsidR="00CC05B8" w:rsidRPr="00FB4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破冰與破題：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報告應保持簡潔、清晰與禮貌。最忌諱照稿宣科或從冗長的前言開始。報告者應在開場的「前兩句話」內，立刻點出實驗的最核心重點與最主要的突破性結果。這種倒金字塔式的敘事法，能瞬間抓取評審的注意力，激發其繼續用心聆聽的意願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6</w:t>
      </w:r>
      <w:r w:rsidRPr="00FB46DD">
        <w:rPr>
          <w:rFonts w:eastAsia="標楷體"/>
          <w:color w:val="1F1F1F"/>
        </w:rPr>
        <w:t>。</w:t>
      </w:r>
    </w:p>
    <w:p w14:paraId="7E5016A7" w14:textId="6A404D85" w:rsidR="00CC05B8" w:rsidRPr="00FB4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視覺與輔助工具的極大化：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由於簡報時間短暫，解說時應「以圖為主，表為輔」，透過直觀的圖表讓聽眾瞬間掌握數據趨勢。此外，雖然現場禁止展出危險實體物，但強烈建議使用筆記型電腦呈現實驗紀錄影片，或製作安全的小型儀器模型、立體架構模型來輔助說明。實體模型的具象化效果，往往能大幅跨越語言溝通的障礙，加強得分效果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6</w:t>
      </w:r>
      <w:r w:rsidRPr="00FB46DD">
        <w:rPr>
          <w:rFonts w:eastAsia="標楷體"/>
          <w:color w:val="1F1F1F"/>
        </w:rPr>
        <w:t>。</w:t>
      </w:r>
    </w:p>
    <w:p w14:paraId="6181F881" w14:textId="3C6C5282" w:rsidR="00CC05B8" w:rsidRPr="00FB46D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FB46DD">
        <w:rPr>
          <w:rFonts w:eastAsia="標楷體"/>
          <w:b/>
          <w:bCs/>
          <w:color w:val="1F1F1F"/>
        </w:rPr>
        <w:t>對答與批判性思考：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在</w:t>
      </w:r>
      <w:r w:rsidRPr="00FB46DD">
        <w:rPr>
          <w:rFonts w:eastAsia="標楷體"/>
          <w:color w:val="1F1F1F"/>
        </w:rPr>
        <w:t xml:space="preserve"> Q&amp;A </w:t>
      </w:r>
      <w:r w:rsidRPr="00FB46DD">
        <w:rPr>
          <w:rFonts w:eastAsia="標楷體"/>
          <w:color w:val="1F1F1F"/>
        </w:rPr>
        <w:t>階段，回答問題必須清楚、簡潔且思考縝密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FB46DD">
        <w:rPr>
          <w:rFonts w:eastAsia="標楷體"/>
          <w:color w:val="1F1F1F"/>
        </w:rPr>
        <w:t>。評審的提問往往具有挑戰性，旨在刺探學生是否真正理解作品背後的基本科學原理，以及是否清楚認知該研究的「侷限性」。對於團體參賽作品，評審會透過交互詰問，確保每一位共同作者都對整個專案有深刻的理解且具備實質貢獻。任何「僅負責美工」或「對實驗核心一知半解」的成員，都將成為團隊扣分的致命傷。</w:t>
      </w:r>
    </w:p>
    <w:p w14:paraId="52276606" w14:textId="77777777" w:rsidR="00CC05B8" w:rsidRPr="00FB46DD" w:rsidRDefault="00000000">
      <w:pPr>
        <w:pStyle w:val="2"/>
        <w:spacing w:before="240" w:after="12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九、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總結分析與精進策略</w:t>
      </w:r>
    </w:p>
    <w:p w14:paraId="4C81C301" w14:textId="7777777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綜觀中小學科學展覽之各項綱要與審查指標，科展作品說明書的撰寫實為一項揉合了「科學邏輯演繹」、「學術倫理堅守」與「標準化溝通傳達」的極端挑戰。要產出一份具備奪金潛力的頂尖報告，研究者應將以下核心精神內化於每一個寫作環節：</w:t>
      </w:r>
    </w:p>
    <w:p w14:paraId="2922DA80" w14:textId="0A190630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b/>
          <w:bCs/>
          <w:color w:val="1F1F1F"/>
        </w:rPr>
        <w:t>第一，擁抱真實的科學探索歷程。</w:t>
      </w:r>
      <w:r w:rsidRPr="00FB46DD">
        <w:rPr>
          <w:rFonts w:eastAsia="標楷體"/>
          <w:color w:val="1F1F1F"/>
        </w:rPr>
        <w:t xml:space="preserve"> 50% </w:t>
      </w:r>
      <w:r w:rsidRPr="00FB46DD">
        <w:rPr>
          <w:rFonts w:eastAsia="標楷體"/>
          <w:color w:val="1F1F1F"/>
        </w:rPr>
        <w:t>的創意配分是整個評分體系的重中之重。研究者應捨棄華而不實的文字遊戲標題，將精力投注於變因設計的突破與現實問題的解決。同時，必須深刻體認「研究日誌」的神聖性，採用騎馬釘裝訂、不撕頁、逐日手寫的原始紀錄，不僅是防偽的手</w:t>
      </w:r>
      <w:r w:rsidRPr="00FB46DD">
        <w:rPr>
          <w:rFonts w:eastAsia="標楷體"/>
          <w:color w:val="1F1F1F"/>
        </w:rPr>
        <w:lastRenderedPageBreak/>
        <w:t>段，更是見證科學家從失敗中淬鍊真理的勳章。</w:t>
      </w:r>
    </w:p>
    <w:p w14:paraId="392531DF" w14:textId="09E9B337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b/>
          <w:bCs/>
          <w:color w:val="1F1F1F"/>
        </w:rPr>
        <w:t>第二，嚴守事實與詮釋的楚河漢界。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報告的價值建立在數據的客觀性之上。在論述時，必須將「研究結果」中冰冷的實驗圖表與「討論」中主觀的學術推演嚴格區分。對於不如預期的實驗數據，不予隱瞞，反而能夠在討論章節中展現出批判性思考的深度；同時，確保所有實驗皆具備對照組與足夠的重複次數，以捍衛數據的統計信度。</w:t>
      </w:r>
    </w:p>
    <w:p w14:paraId="62F71BE4" w14:textId="6BB17759" w:rsidR="00CC05B8" w:rsidRPr="00FB46DD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eastAsia="標楷體"/>
          <w:color w:val="1F1F1F"/>
        </w:rPr>
      </w:pPr>
      <w:r w:rsidRPr="00FB46DD">
        <w:rPr>
          <w:rFonts w:eastAsia="標楷體"/>
          <w:b/>
          <w:bCs/>
          <w:color w:val="1F1F1F"/>
        </w:rPr>
        <w:t>第三，以最高標準服膺學術社群規範。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1F1F1F"/>
        </w:rPr>
        <w:t>從</w:t>
      </w:r>
      <w:r w:rsidRPr="00FB46DD">
        <w:rPr>
          <w:rFonts w:eastAsia="標楷體"/>
          <w:color w:val="1F1F1F"/>
        </w:rPr>
        <w:t xml:space="preserve"> A4 </w:t>
      </w:r>
      <w:r w:rsidRPr="00FB46DD">
        <w:rPr>
          <w:rFonts w:eastAsia="標楷體"/>
          <w:color w:val="1F1F1F"/>
        </w:rPr>
        <w:t>紙張、</w:t>
      </w:r>
      <w:r w:rsidRPr="00FB46DD">
        <w:rPr>
          <w:rFonts w:eastAsia="標楷體"/>
          <w:color w:val="1F1F1F"/>
        </w:rPr>
        <w:t xml:space="preserve">1.5 </w:t>
      </w:r>
      <w:r w:rsidRPr="00FB46DD">
        <w:rPr>
          <w:rFonts w:eastAsia="標楷體"/>
          <w:color w:val="1F1F1F"/>
        </w:rPr>
        <w:t>倍行距、不超過</w:t>
      </w:r>
      <w:r w:rsidRPr="00FB46DD">
        <w:rPr>
          <w:rFonts w:eastAsia="標楷體"/>
          <w:color w:val="1F1F1F"/>
        </w:rPr>
        <w:t xml:space="preserve"> 30 </w:t>
      </w:r>
      <w:r w:rsidRPr="00FB46DD">
        <w:rPr>
          <w:rFonts w:eastAsia="標楷體"/>
          <w:color w:val="1F1F1F"/>
        </w:rPr>
        <w:t>頁且嚴守</w:t>
      </w:r>
      <w:r w:rsidRPr="00FB46DD">
        <w:rPr>
          <w:rFonts w:eastAsia="標楷體"/>
          <w:color w:val="1F1F1F"/>
        </w:rPr>
        <w:t xml:space="preserve"> 7,000 </w:t>
      </w:r>
      <w:r w:rsidRPr="00FB46DD">
        <w:rPr>
          <w:rFonts w:eastAsia="標楷體"/>
          <w:color w:val="1F1F1F"/>
        </w:rPr>
        <w:t>字極限的物理框架；到嚴謹執行「壹、一、（一）」的標題降冪邏輯；再到精確區分直接引用與間接引用的</w:t>
      </w:r>
      <w:r w:rsidRPr="00FB46DD">
        <w:rPr>
          <w:rFonts w:eastAsia="標楷體"/>
          <w:color w:val="1F1F1F"/>
        </w:rPr>
        <w:t xml:space="preserve"> APA </w:t>
      </w:r>
      <w:r w:rsidRPr="00FB46DD">
        <w:rPr>
          <w:rFonts w:eastAsia="標楷體"/>
          <w:color w:val="1F1F1F"/>
        </w:rPr>
        <w:t>格式規範；最後是貫徹匿名雙盲原則，徹底抹除任何身分及臉部資訊以維護競賽公平</w:t>
      </w:r>
      <w:r w:rsidRPr="00FB46DD">
        <w:rPr>
          <w:rFonts w:eastAsia="標楷體"/>
          <w:color w:val="1F1F1F"/>
        </w:rPr>
        <w:t xml:space="preserve"> </w:t>
      </w:r>
      <w:r w:rsidRPr="00FB46DD">
        <w:rPr>
          <w:rFonts w:eastAsia="標楷體"/>
          <w:color w:val="444746"/>
          <w:sz w:val="24"/>
          <w:szCs w:val="24"/>
          <w:vertAlign w:val="superscript"/>
        </w:rPr>
        <w:t>10</w:t>
      </w:r>
      <w:r w:rsidRPr="00FB46DD">
        <w:rPr>
          <w:rFonts w:eastAsia="標楷體"/>
          <w:color w:val="1F1F1F"/>
        </w:rPr>
        <w:t>。這些看似繁文縟節的規定，實則是引導中小學生提前適應國際科學社群語境的必經之路。</w:t>
      </w:r>
    </w:p>
    <w:p w14:paraId="1A0D1BE7" w14:textId="54D17514" w:rsidR="00CC05B8" w:rsidRPr="00FB46DD" w:rsidRDefault="00000000" w:rsidP="00FB46DD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eastAsia="標楷體"/>
          <w:color w:val="1F1F1F"/>
        </w:rPr>
      </w:pPr>
      <w:r w:rsidRPr="00FB46DD">
        <w:rPr>
          <w:rFonts w:eastAsia="標楷體"/>
          <w:color w:val="1F1F1F"/>
        </w:rPr>
        <w:t>科學展覽的終極目的，不在於產出一份完美的報告，而在於透過撰寫這份報告的磨難，塑造出具備嚴謹邏輯、誠實品格與創新視野的未來科學家。唯有在尊重安全法規與學術倫理的堅實基石上，運用紮實的方法論進行實證，並以標準化的學術語言精準溝通，方能成就一件經得起時代考驗的卓越科學作品。</w:t>
      </w:r>
    </w:p>
    <w:sectPr w:rsidR="00CC05B8" w:rsidRPr="00FB46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949BDB3-DA5C-E34F-B85D-26A9F80B6B21}"/>
    <w:embedBold r:id="rId2" w:fontKey="{7AB324FC-31D9-BB48-9323-8D33BB8EAF1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C93ED36-4E28-6E49-84C4-5F885B8562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F58B25B-F7CE-2F4C-BC33-BFCC74DB8285}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5" w:subsetted="1" w:fontKey="{9C68CE7A-20D3-F24F-BE43-CF289E7132E2}"/>
    <w:embedBold r:id="rId6" w:subsetted="1" w:fontKey="{0940153A-C980-8141-9360-3DA377D0185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DC9F76F9-105C-B14F-A216-55395F105B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E9CA6FBC-300D-644A-8938-6F73838E02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01C9"/>
    <w:multiLevelType w:val="multilevel"/>
    <w:tmpl w:val="79FE6EC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5F225F"/>
    <w:multiLevelType w:val="multilevel"/>
    <w:tmpl w:val="8D72ED7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981BB4"/>
    <w:multiLevelType w:val="multilevel"/>
    <w:tmpl w:val="FE6284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365588"/>
    <w:multiLevelType w:val="multilevel"/>
    <w:tmpl w:val="2F78711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B719BC"/>
    <w:multiLevelType w:val="multilevel"/>
    <w:tmpl w:val="CAEE91C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68251B"/>
    <w:multiLevelType w:val="multilevel"/>
    <w:tmpl w:val="770EE3E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16252EB"/>
    <w:multiLevelType w:val="multilevel"/>
    <w:tmpl w:val="8EACDE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CA527CE"/>
    <w:multiLevelType w:val="multilevel"/>
    <w:tmpl w:val="7D5217B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2093295">
    <w:abstractNumId w:val="1"/>
  </w:num>
  <w:num w:numId="2" w16cid:durableId="72317598">
    <w:abstractNumId w:val="4"/>
  </w:num>
  <w:num w:numId="3" w16cid:durableId="629481741">
    <w:abstractNumId w:val="6"/>
  </w:num>
  <w:num w:numId="4" w16cid:durableId="1294289536">
    <w:abstractNumId w:val="7"/>
  </w:num>
  <w:num w:numId="5" w16cid:durableId="1041395717">
    <w:abstractNumId w:val="0"/>
  </w:num>
  <w:num w:numId="6" w16cid:durableId="1677415705">
    <w:abstractNumId w:val="3"/>
  </w:num>
  <w:num w:numId="7" w16cid:durableId="689795018">
    <w:abstractNumId w:val="5"/>
  </w:num>
  <w:num w:numId="8" w16cid:durableId="1609853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5B8"/>
    <w:rsid w:val="009B5295"/>
    <w:rsid w:val="00CC05B8"/>
    <w:rsid w:val="00FB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F4DC2"/>
  <w15:docId w15:val="{56BB79B7-67F6-4B4C-B670-D15EB252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FB46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4652</Words>
  <Characters>5722</Characters>
  <Application>Microsoft Office Word</Application>
  <DocSecurity>0</DocSecurity>
  <Lines>211</Lines>
  <Paragraphs>128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2</cp:revision>
  <dcterms:created xsi:type="dcterms:W3CDTF">2026-04-29T06:37:00Z</dcterms:created>
  <dcterms:modified xsi:type="dcterms:W3CDTF">2026-04-29T06:43:00Z</dcterms:modified>
</cp:coreProperties>
</file>