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47DB6" w:rsidRPr="00BE7A09" w:rsidRDefault="00000000">
      <w:pPr>
        <w:pStyle w:val="1"/>
        <w:spacing w:before="0" w:after="120" w:line="275" w:lineRule="auto"/>
        <w:rPr>
          <w:rFonts w:eastAsia="標楷體"/>
          <w:color w:val="1F1F1F"/>
          <w:sz w:val="44"/>
          <w:szCs w:val="44"/>
        </w:rPr>
      </w:pPr>
      <w:r w:rsidRPr="00BE7A09">
        <w:rPr>
          <w:rFonts w:eastAsia="標楷體"/>
          <w:color w:val="1F1F1F"/>
          <w:sz w:val="44"/>
          <w:szCs w:val="44"/>
        </w:rPr>
        <w:t>科學敘事與視覺溝通：高中科學專題簡報實務</w:t>
      </w:r>
    </w:p>
    <w:p w14:paraId="00000003" w14:textId="77777777" w:rsidR="00447DB6" w:rsidRPr="00BE7A09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課程簡介</w:t>
      </w:r>
    </w:p>
    <w:p w14:paraId="00000004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本課程旨在透過分析優秀的科學專題簡報案例，教導學生如何將嚴謹的科學實驗數據，轉化為邏輯清晰、視覺吸睛且具說服力的簡報。課程內容涵蓋內容架構、視覺設計、配色美學及數據圖表優化四大面向。</w:t>
      </w:r>
    </w:p>
    <w:p w14:paraId="00000005" w14:textId="77777777" w:rsidR="00447DB6" w:rsidRPr="00BE7A09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第一部分：典範分析</w:t>
      </w:r>
      <w:r w:rsidRPr="00BE7A09">
        <w:rPr>
          <w:rFonts w:eastAsia="標楷體"/>
          <w:color w:val="1F1F1F"/>
        </w:rPr>
        <w:t xml:space="preserve"> (Case Studies)</w:t>
      </w:r>
    </w:p>
    <w:p w14:paraId="00000006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在進入製作教學前，我們先分析這十份檔案為何能成為「優質範例」。它們共同具備以下特質：</w:t>
      </w:r>
    </w:p>
    <w:p w14:paraId="00000007" w14:textId="77777777" w:rsidR="00447DB6" w:rsidRPr="00BE7A09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 xml:space="preserve">1. </w:t>
      </w:r>
      <w:r w:rsidRPr="00BE7A09">
        <w:rPr>
          <w:rFonts w:eastAsia="標楷體"/>
          <w:color w:val="1F1F1F"/>
        </w:rPr>
        <w:t>證據導向的視覺化</w:t>
      </w:r>
      <w:r w:rsidRPr="00BE7A09">
        <w:rPr>
          <w:rFonts w:eastAsia="標楷體"/>
          <w:color w:val="1F1F1F"/>
        </w:rPr>
        <w:t xml:space="preserve"> (Evidence-based Visualization)</w:t>
      </w:r>
    </w:p>
    <w:p w14:paraId="00000008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科學簡報的核心在於「證據」。優秀的簡報不只說結果，更直接展示證據。</w:t>
      </w:r>
    </w:p>
    <w:p w14:paraId="00000009" w14:textId="77777777" w:rsidR="00447DB6" w:rsidRPr="00BE7A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案例分析</w:t>
      </w:r>
      <w:r w:rsidRPr="00BE7A09">
        <w:rPr>
          <w:rFonts w:eastAsia="標楷體"/>
          <w:color w:val="1F1F1F"/>
        </w:rPr>
        <w:t>：《</w:t>
      </w:r>
      <w:r w:rsidRPr="00BE7A09">
        <w:rPr>
          <w:rFonts w:eastAsia="標楷體"/>
          <w:b/>
          <w:bCs/>
          <w:color w:val="1F1F1F"/>
        </w:rPr>
        <w:t>槭樹翅果成熟過程中單、雙翅差異性探討</w:t>
      </w:r>
      <w:r w:rsidRPr="00BE7A09">
        <w:rPr>
          <w:rFonts w:eastAsia="標楷體"/>
          <w:color w:val="1F1F1F"/>
        </w:rPr>
        <w:t>》</w:t>
      </w:r>
    </w:p>
    <w:p w14:paraId="0000000A" w14:textId="77777777" w:rsidR="00447DB6" w:rsidRPr="00BE7A0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亮點</w:t>
      </w:r>
      <w:r w:rsidRPr="00BE7A09">
        <w:rPr>
          <w:rFonts w:eastAsia="標楷體"/>
          <w:color w:val="1F1F1F"/>
        </w:rPr>
        <w:t>：使用了</w:t>
      </w:r>
      <w:r w:rsidRPr="00BE7A09">
        <w:rPr>
          <w:rFonts w:eastAsia="標楷體"/>
          <w:color w:val="1F1F1F"/>
        </w:rPr>
        <w:t xml:space="preserve"> Tracker </w:t>
      </w:r>
      <w:r w:rsidRPr="00BE7A09">
        <w:rPr>
          <w:rFonts w:eastAsia="標楷體"/>
          <w:color w:val="1F1F1F"/>
        </w:rPr>
        <w:t>軟體的追蹤截圖與高速攝影機影像。這比單純的文字描述「掉落速度不同」更具說服力，直接讓觀眾「看見」物理現象。</w:t>
      </w:r>
    </w:p>
    <w:p w14:paraId="0000000B" w14:textId="77777777" w:rsidR="00447DB6" w:rsidRPr="00BE7A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案例分析</w:t>
      </w:r>
      <w:r w:rsidRPr="00BE7A09">
        <w:rPr>
          <w:rFonts w:eastAsia="標楷體"/>
          <w:color w:val="1F1F1F"/>
        </w:rPr>
        <w:t>：《</w:t>
      </w:r>
      <w:r w:rsidRPr="00BE7A09">
        <w:rPr>
          <w:rFonts w:eastAsia="標楷體"/>
          <w:b/>
          <w:bCs/>
          <w:color w:val="1F1F1F"/>
        </w:rPr>
        <w:t>藤本植物莖內厚壁細胞</w:t>
      </w:r>
      <w:r w:rsidRPr="00BE7A09">
        <w:rPr>
          <w:rFonts w:eastAsia="標楷體"/>
          <w:color w:val="1F1F1F"/>
        </w:rPr>
        <w:t>》與《</w:t>
      </w:r>
      <w:r w:rsidRPr="00BE7A09">
        <w:rPr>
          <w:rFonts w:eastAsia="標楷體"/>
          <w:b/>
          <w:bCs/>
          <w:color w:val="1F1F1F"/>
        </w:rPr>
        <w:t>盾蝸牛殼毛</w:t>
      </w:r>
      <w:r w:rsidRPr="00BE7A09">
        <w:rPr>
          <w:rFonts w:eastAsia="標楷體"/>
          <w:color w:val="1F1F1F"/>
        </w:rPr>
        <w:t>》</w:t>
      </w:r>
    </w:p>
    <w:p w14:paraId="0000000C" w14:textId="77777777" w:rsidR="00447DB6" w:rsidRPr="00BE7A0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亮點</w:t>
      </w:r>
      <w:r w:rsidRPr="00BE7A09">
        <w:rPr>
          <w:rFonts w:eastAsia="標楷體"/>
          <w:color w:val="1F1F1F"/>
        </w:rPr>
        <w:t>：展示了高品質的顯微鏡切片與掃描式電子顯微鏡</w:t>
      </w:r>
      <w:r w:rsidRPr="00BE7A09">
        <w:rPr>
          <w:rFonts w:eastAsia="標楷體"/>
          <w:color w:val="1F1F1F"/>
        </w:rPr>
        <w:t xml:space="preserve"> (SEM) </w:t>
      </w:r>
      <w:r w:rsidRPr="00BE7A09">
        <w:rPr>
          <w:rFonts w:eastAsia="標楷體"/>
          <w:color w:val="1F1F1F"/>
        </w:rPr>
        <w:t>照片。</w:t>
      </w:r>
    </w:p>
    <w:p w14:paraId="0000000D" w14:textId="77777777" w:rsidR="00447DB6" w:rsidRPr="00BE7A09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關鍵細節</w:t>
      </w:r>
      <w:r w:rsidRPr="00BE7A09">
        <w:rPr>
          <w:rFonts w:eastAsia="標楷體"/>
          <w:color w:val="1F1F1F"/>
        </w:rPr>
        <w:t>：照片旁皆標示了「比例尺</w:t>
      </w:r>
      <w:r w:rsidRPr="00BE7A09">
        <w:rPr>
          <w:rFonts w:eastAsia="標楷體"/>
          <w:color w:val="1F1F1F"/>
        </w:rPr>
        <w:t xml:space="preserve"> (Scale Bar)</w:t>
      </w:r>
      <w:r w:rsidRPr="00BE7A09">
        <w:rPr>
          <w:rFonts w:eastAsia="標楷體"/>
          <w:color w:val="1F1F1F"/>
        </w:rPr>
        <w:t>」，這是科學影像的基本素養。</w:t>
      </w:r>
    </w:p>
    <w:p w14:paraId="0000000E" w14:textId="77777777" w:rsidR="00447DB6" w:rsidRPr="00BE7A09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 xml:space="preserve">2. </w:t>
      </w:r>
      <w:r w:rsidRPr="00BE7A09">
        <w:rPr>
          <w:rFonts w:eastAsia="標楷體"/>
          <w:color w:val="1F1F1F"/>
        </w:rPr>
        <w:t>邏輯嚴謹的敘事結構</w:t>
      </w:r>
      <w:r w:rsidRPr="00BE7A09">
        <w:rPr>
          <w:rFonts w:eastAsia="標楷體"/>
          <w:color w:val="1F1F1F"/>
        </w:rPr>
        <w:t xml:space="preserve"> (Structured Narrative)</w:t>
      </w:r>
    </w:p>
    <w:p w14:paraId="0000000F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所有的檔案都遵循</w:t>
      </w:r>
      <w:r w:rsidRPr="00BE7A09">
        <w:rPr>
          <w:rFonts w:eastAsia="標楷體"/>
          <w:color w:val="1F1F1F"/>
        </w:rPr>
        <w:t xml:space="preserve"> </w:t>
      </w:r>
      <w:r w:rsidRPr="00BE7A09">
        <w:rPr>
          <w:rFonts w:eastAsia="標楷體"/>
          <w:b/>
          <w:bCs/>
          <w:color w:val="1F1F1F"/>
        </w:rPr>
        <w:t>IMRD</w:t>
      </w:r>
      <w:r w:rsidRPr="00BE7A09">
        <w:rPr>
          <w:rFonts w:eastAsia="標楷體"/>
          <w:color w:val="1F1F1F"/>
        </w:rPr>
        <w:t xml:space="preserve"> (Introduction, Methods, Results, Discussion) </w:t>
      </w:r>
      <w:r w:rsidRPr="00BE7A09">
        <w:rPr>
          <w:rFonts w:eastAsia="標楷體"/>
          <w:color w:val="1F1F1F"/>
        </w:rPr>
        <w:t>的標準科學邏輯，但透過設計讓過場更流暢。</w:t>
      </w:r>
    </w:p>
    <w:p w14:paraId="00000010" w14:textId="77777777" w:rsidR="00447DB6" w:rsidRPr="00BE7A09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案例分析</w:t>
      </w:r>
      <w:r w:rsidRPr="00BE7A09">
        <w:rPr>
          <w:rFonts w:eastAsia="標楷體"/>
          <w:color w:val="1F1F1F"/>
        </w:rPr>
        <w:t>：《</w:t>
      </w:r>
      <w:r w:rsidRPr="00BE7A09">
        <w:rPr>
          <w:rFonts w:eastAsia="標楷體"/>
          <w:b/>
          <w:bCs/>
          <w:color w:val="1F1F1F"/>
        </w:rPr>
        <w:t>以基因剔除小鼠模式剖析</w:t>
      </w:r>
      <w:r w:rsidRPr="00BE7A09">
        <w:rPr>
          <w:rFonts w:eastAsia="標楷體"/>
          <w:b/>
          <w:bCs/>
          <w:color w:val="1F1F1F"/>
        </w:rPr>
        <w:t>...</w:t>
      </w:r>
      <w:r w:rsidRPr="00BE7A09">
        <w:rPr>
          <w:rFonts w:eastAsia="標楷體"/>
          <w:color w:val="1F1F1F"/>
        </w:rPr>
        <w:t>》</w:t>
      </w:r>
    </w:p>
    <w:p w14:paraId="00000011" w14:textId="77777777" w:rsidR="00447DB6" w:rsidRPr="00BE7A09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亮點</w:t>
      </w:r>
      <w:r w:rsidRPr="00BE7A09">
        <w:rPr>
          <w:rFonts w:eastAsia="標楷體"/>
          <w:color w:val="1F1F1F"/>
        </w:rPr>
        <w:t>：利用流程圖</w:t>
      </w:r>
      <w:r w:rsidRPr="00BE7A09">
        <w:rPr>
          <w:rFonts w:eastAsia="標楷體"/>
          <w:color w:val="1F1F1F"/>
        </w:rPr>
        <w:t xml:space="preserve"> (Flowchart) </w:t>
      </w:r>
      <w:r w:rsidRPr="00BE7A09">
        <w:rPr>
          <w:rFonts w:eastAsia="標楷體"/>
          <w:color w:val="1F1F1F"/>
        </w:rPr>
        <w:t>來解釋複雜的實驗設計（分組、給藥、犧牲、分析），讓聽眾能快速理解實驗步驟，而非迷失在文字堆中。</w:t>
      </w:r>
    </w:p>
    <w:p w14:paraId="00000012" w14:textId="77777777" w:rsidR="00447DB6" w:rsidRPr="00BE7A09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 xml:space="preserve">3. </w:t>
      </w:r>
      <w:r w:rsidRPr="00BE7A09">
        <w:rPr>
          <w:rFonts w:eastAsia="標楷體"/>
          <w:color w:val="1F1F1F"/>
        </w:rPr>
        <w:t>比較與對照的呈現</w:t>
      </w:r>
      <w:r w:rsidRPr="00BE7A09">
        <w:rPr>
          <w:rFonts w:eastAsia="標楷體"/>
          <w:color w:val="1F1F1F"/>
        </w:rPr>
        <w:t xml:space="preserve"> (Comparison &amp; Contrast)</w:t>
      </w:r>
    </w:p>
    <w:p w14:paraId="00000013" w14:textId="77777777" w:rsidR="00447DB6" w:rsidRPr="00BE7A09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案例分析</w:t>
      </w:r>
      <w:r w:rsidRPr="00BE7A09">
        <w:rPr>
          <w:rFonts w:eastAsia="標楷體"/>
          <w:color w:val="1F1F1F"/>
        </w:rPr>
        <w:t>：《</w:t>
      </w:r>
      <w:r w:rsidRPr="00BE7A09">
        <w:rPr>
          <w:rFonts w:eastAsia="標楷體"/>
          <w:b/>
          <w:bCs/>
          <w:color w:val="1F1F1F"/>
        </w:rPr>
        <w:t>外來入侵種斑腿樹蛙</w:t>
      </w:r>
      <w:r w:rsidRPr="00BE7A09">
        <w:rPr>
          <w:rFonts w:eastAsia="標楷體"/>
          <w:color w:val="1F1F1F"/>
        </w:rPr>
        <w:t>》與《</w:t>
      </w:r>
      <w:r w:rsidRPr="00BE7A09">
        <w:rPr>
          <w:rFonts w:eastAsia="標楷體"/>
          <w:b/>
          <w:bCs/>
          <w:color w:val="1F1F1F"/>
        </w:rPr>
        <w:t>蝌蚪變態青蛙</w:t>
      </w:r>
      <w:r w:rsidRPr="00BE7A09">
        <w:rPr>
          <w:rFonts w:eastAsia="標楷體"/>
          <w:color w:val="1F1F1F"/>
        </w:rPr>
        <w:t>》</w:t>
      </w:r>
    </w:p>
    <w:p w14:paraId="00000014" w14:textId="77777777" w:rsidR="00447DB6" w:rsidRPr="00BE7A09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亮點</w:t>
      </w:r>
      <w:r w:rsidRPr="00BE7A09">
        <w:rPr>
          <w:rFonts w:eastAsia="標楷體"/>
          <w:color w:val="1F1F1F"/>
        </w:rPr>
        <w:t>：大量使用「並排比較</w:t>
      </w:r>
      <w:r w:rsidRPr="00BE7A09">
        <w:rPr>
          <w:rFonts w:eastAsia="標楷體"/>
          <w:color w:val="1F1F1F"/>
        </w:rPr>
        <w:t xml:space="preserve"> (Side-by-side Comparison)</w:t>
      </w:r>
      <w:r w:rsidRPr="00BE7A09">
        <w:rPr>
          <w:rFonts w:eastAsia="標楷體"/>
          <w:color w:val="1F1F1F"/>
        </w:rPr>
        <w:t>」。將「斑腿樹蛙</w:t>
      </w:r>
      <w:r w:rsidRPr="00BE7A09">
        <w:rPr>
          <w:rFonts w:eastAsia="標楷體"/>
          <w:color w:val="1F1F1F"/>
        </w:rPr>
        <w:t xml:space="preserve"> vs </w:t>
      </w:r>
      <w:r w:rsidRPr="00BE7A09">
        <w:rPr>
          <w:rFonts w:eastAsia="標楷體"/>
          <w:color w:val="1F1F1F"/>
        </w:rPr>
        <w:t>白頷樹蛙」或「蝌蚪</w:t>
      </w:r>
      <w:r w:rsidRPr="00BE7A09">
        <w:rPr>
          <w:rFonts w:eastAsia="標楷體"/>
          <w:color w:val="1F1F1F"/>
        </w:rPr>
        <w:t xml:space="preserve"> vs </w:t>
      </w:r>
      <w:r w:rsidRPr="00BE7A09">
        <w:rPr>
          <w:rFonts w:eastAsia="標楷體"/>
          <w:color w:val="1F1F1F"/>
        </w:rPr>
        <w:t>青蛙」的照片並列，讓特徵差異一目了然。</w:t>
      </w:r>
    </w:p>
    <w:p w14:paraId="00000015" w14:textId="77777777" w:rsidR="00447DB6" w:rsidRPr="00BE7A09" w:rsidRDefault="00000000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第二部分：實務教學模組</w:t>
      </w:r>
      <w:r w:rsidRPr="00BE7A09">
        <w:rPr>
          <w:rFonts w:eastAsia="標楷體"/>
          <w:color w:val="1F1F1F"/>
        </w:rPr>
        <w:t xml:space="preserve"> (Course Modules)</w:t>
      </w:r>
    </w:p>
    <w:p w14:paraId="00000016" w14:textId="77777777" w:rsidR="00447DB6" w:rsidRPr="00BE7A09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模組一：邏輯架構</w:t>
      </w:r>
      <w:r w:rsidRPr="00BE7A09">
        <w:rPr>
          <w:rFonts w:eastAsia="標楷體"/>
          <w:color w:val="1F1F1F"/>
        </w:rPr>
        <w:t xml:space="preserve"> (Structure &amp; Logic)</w:t>
      </w:r>
    </w:p>
    <w:p w14:paraId="00000017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b/>
          <w:bCs/>
          <w:color w:val="1F1F1F"/>
        </w:rPr>
        <w:t>目標</w:t>
      </w:r>
      <w:r w:rsidRPr="00BE7A09">
        <w:rPr>
          <w:rFonts w:eastAsia="標楷體"/>
          <w:color w:val="1F1F1F"/>
        </w:rPr>
        <w:t>：將實驗報告轉化為引人入勝的故事。</w:t>
      </w:r>
    </w:p>
    <w:p w14:paraId="00000018" w14:textId="77777777" w:rsidR="00447DB6" w:rsidRPr="00BE7A0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標題頁</w:t>
      </w:r>
      <w:r w:rsidRPr="00BE7A09">
        <w:rPr>
          <w:rFonts w:eastAsia="標楷體"/>
          <w:b/>
          <w:bCs/>
          <w:color w:val="1F1F1F"/>
        </w:rPr>
        <w:t xml:space="preserve"> (The Hook)</w:t>
      </w:r>
      <w:r w:rsidRPr="00BE7A09">
        <w:rPr>
          <w:rFonts w:eastAsia="標楷體"/>
          <w:color w:val="1F1F1F"/>
        </w:rPr>
        <w:t>：</w:t>
      </w:r>
    </w:p>
    <w:p w14:paraId="00000019" w14:textId="77777777" w:rsidR="00447DB6" w:rsidRPr="00BE7A09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lastRenderedPageBreak/>
        <w:t>題目需精確，副標題可點出研究變因。</w:t>
      </w:r>
    </w:p>
    <w:p w14:paraId="0000001A" w14:textId="77777777" w:rsidR="00447DB6" w:rsidRPr="00BE7A09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i/>
          <w:iCs/>
          <w:color w:val="1F1F1F"/>
        </w:rPr>
        <w:t>教學範例</w:t>
      </w:r>
      <w:r w:rsidRPr="00BE7A09">
        <w:rPr>
          <w:rFonts w:eastAsia="標楷體"/>
          <w:color w:val="1F1F1F"/>
        </w:rPr>
        <w:t>：《</w:t>
      </w:r>
      <w:r w:rsidRPr="00BE7A09">
        <w:rPr>
          <w:rFonts w:eastAsia="標楷體"/>
          <w:b/>
          <w:bCs/>
          <w:color w:val="1F1F1F"/>
        </w:rPr>
        <w:t>植物的居家風水</w:t>
      </w:r>
      <w:r w:rsidRPr="00BE7A09">
        <w:rPr>
          <w:rFonts w:eastAsia="標楷體"/>
          <w:b/>
          <w:bCs/>
          <w:color w:val="1F1F1F"/>
        </w:rPr>
        <w:t>-</w:t>
      </w:r>
      <w:r w:rsidRPr="00BE7A09">
        <w:rPr>
          <w:rFonts w:eastAsia="標楷體"/>
          <w:b/>
          <w:bCs/>
          <w:color w:val="1F1F1F"/>
        </w:rPr>
        <w:t>植物葉片溝槽結構與環境適應之探討</w:t>
      </w:r>
      <w:r w:rsidRPr="00BE7A09">
        <w:rPr>
          <w:rFonts w:eastAsia="標楷體"/>
          <w:color w:val="1F1F1F"/>
        </w:rPr>
        <w:t>》以趣味的「風水」破題，引出「溝槽結構」的物理機制。</w:t>
      </w:r>
    </w:p>
    <w:p w14:paraId="0000001B" w14:textId="77777777" w:rsidR="00447DB6" w:rsidRPr="00BE7A0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研究動機</w:t>
      </w:r>
      <w:r w:rsidRPr="00BE7A09">
        <w:rPr>
          <w:rFonts w:eastAsia="標楷體"/>
          <w:b/>
          <w:bCs/>
          <w:color w:val="1F1F1F"/>
        </w:rPr>
        <w:t xml:space="preserve"> (The Problem)</w:t>
      </w:r>
      <w:r w:rsidRPr="00BE7A09">
        <w:rPr>
          <w:rFonts w:eastAsia="標楷體"/>
          <w:color w:val="1F1F1F"/>
        </w:rPr>
        <w:t>：</w:t>
      </w:r>
    </w:p>
    <w:p w14:paraId="0000001C" w14:textId="77777777" w:rsidR="00447DB6" w:rsidRPr="00BE7A09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>避免教科書式的理論堆砌。應從「觀察到的現象」或「生活中的問題」切入。</w:t>
      </w:r>
    </w:p>
    <w:p w14:paraId="0000001D" w14:textId="77777777" w:rsidR="00447DB6" w:rsidRPr="00BE7A09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i/>
          <w:iCs/>
          <w:color w:val="1F1F1F"/>
        </w:rPr>
        <w:t>技巧</w:t>
      </w:r>
      <w:r w:rsidRPr="00BE7A09">
        <w:rPr>
          <w:rFonts w:eastAsia="標楷體"/>
          <w:color w:val="1F1F1F"/>
        </w:rPr>
        <w:t>：使用連續動作圖片（如馬陸受驚嚇捲曲的過程）來定義問題。</w:t>
      </w:r>
    </w:p>
    <w:p w14:paraId="0000001E" w14:textId="77777777" w:rsidR="00447DB6" w:rsidRPr="00BE7A0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視覺化方法</w:t>
      </w:r>
      <w:r w:rsidRPr="00BE7A09">
        <w:rPr>
          <w:rFonts w:eastAsia="標楷體"/>
          <w:b/>
          <w:bCs/>
          <w:color w:val="1F1F1F"/>
        </w:rPr>
        <w:t xml:space="preserve"> (Visualizing Methods)</w:t>
      </w:r>
      <w:r w:rsidRPr="00BE7A09">
        <w:rPr>
          <w:rFonts w:eastAsia="標楷體"/>
          <w:color w:val="1F1F1F"/>
        </w:rPr>
        <w:t>：</w:t>
      </w:r>
    </w:p>
    <w:p w14:paraId="0000001F" w14:textId="77777777" w:rsidR="00447DB6" w:rsidRPr="00BE7A09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>拒絕純文字清單。將實驗步驟轉化為圖示、時間軸或流程圖。</w:t>
      </w:r>
    </w:p>
    <w:p w14:paraId="00000020" w14:textId="77777777" w:rsidR="00447DB6" w:rsidRPr="00BE7A09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模組二：版面設計</w:t>
      </w:r>
      <w:r w:rsidRPr="00BE7A09">
        <w:rPr>
          <w:rFonts w:eastAsia="標楷體"/>
          <w:color w:val="1F1F1F"/>
        </w:rPr>
        <w:t xml:space="preserve"> (Layout &amp; Design)</w:t>
      </w:r>
    </w:p>
    <w:p w14:paraId="00000021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b/>
          <w:bCs/>
          <w:color w:val="1F1F1F"/>
        </w:rPr>
        <w:t>目標</w:t>
      </w:r>
      <w:r w:rsidRPr="00BE7A09">
        <w:rPr>
          <w:rFonts w:eastAsia="標楷體"/>
          <w:color w:val="1F1F1F"/>
        </w:rPr>
        <w:t>：建立清晰的視覺動線，降低認知負荷。</w:t>
      </w:r>
    </w:p>
    <w:p w14:paraId="00000022" w14:textId="77777777" w:rsidR="00447DB6" w:rsidRPr="00BE7A0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網格系統</w:t>
      </w:r>
      <w:r w:rsidRPr="00BE7A09">
        <w:rPr>
          <w:rFonts w:eastAsia="標楷體"/>
          <w:b/>
          <w:bCs/>
          <w:color w:val="1F1F1F"/>
        </w:rPr>
        <w:t xml:space="preserve"> (Grid System)</w:t>
      </w:r>
      <w:r w:rsidRPr="00BE7A09">
        <w:rPr>
          <w:rFonts w:eastAsia="標楷體"/>
          <w:color w:val="1F1F1F"/>
        </w:rPr>
        <w:t>：</w:t>
      </w:r>
    </w:p>
    <w:p w14:paraId="00000023" w14:textId="77777777" w:rsidR="00447DB6" w:rsidRPr="00BE7A09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原則</w:t>
      </w:r>
      <w:r w:rsidRPr="00BE7A09">
        <w:rPr>
          <w:rFonts w:eastAsia="標楷體"/>
          <w:color w:val="1F1F1F"/>
        </w:rPr>
        <w:t>：所有標題、內文、圖片都應對齊隱形的參考線。</w:t>
      </w:r>
    </w:p>
    <w:p w14:paraId="00000024" w14:textId="77777777" w:rsidR="00447DB6" w:rsidRPr="00BE7A09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應用</w:t>
      </w:r>
      <w:r w:rsidRPr="00BE7A09">
        <w:rPr>
          <w:rFonts w:eastAsia="標楷體"/>
          <w:color w:val="1F1F1F"/>
        </w:rPr>
        <w:t>：左圖右文（或左文右圖）是科學簡報最穩定的版面。如《</w:t>
      </w:r>
      <w:r w:rsidRPr="00BE7A09">
        <w:rPr>
          <w:rFonts w:eastAsia="標楷體"/>
          <w:b/>
          <w:bCs/>
          <w:color w:val="1F1F1F"/>
        </w:rPr>
        <w:t>槭樹翅果</w:t>
      </w:r>
      <w:r w:rsidRPr="00BE7A09">
        <w:rPr>
          <w:rFonts w:eastAsia="標楷體"/>
          <w:color w:val="1F1F1F"/>
        </w:rPr>
        <w:t>》的版面，圖片與文字區塊分明，閱讀不費力。</w:t>
      </w:r>
    </w:p>
    <w:p w14:paraId="00000025" w14:textId="77777777" w:rsidR="00447DB6" w:rsidRPr="00BE7A0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留白</w:t>
      </w:r>
      <w:r w:rsidRPr="00BE7A09">
        <w:rPr>
          <w:rFonts w:eastAsia="標楷體"/>
          <w:b/>
          <w:bCs/>
          <w:color w:val="1F1F1F"/>
        </w:rPr>
        <w:t xml:space="preserve"> (Whitespace)</w:t>
      </w:r>
      <w:r w:rsidRPr="00BE7A09">
        <w:rPr>
          <w:rFonts w:eastAsia="標楷體"/>
          <w:color w:val="1F1F1F"/>
        </w:rPr>
        <w:t>：</w:t>
      </w:r>
    </w:p>
    <w:p w14:paraId="00000026" w14:textId="77777777" w:rsidR="00447DB6" w:rsidRPr="00BE7A09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原則</w:t>
      </w:r>
      <w:r w:rsidRPr="00BE7A09">
        <w:rPr>
          <w:rFonts w:eastAsia="標楷體"/>
          <w:color w:val="1F1F1F"/>
        </w:rPr>
        <w:t>：填滿版面是最大的錯誤。適當的留白能讓重點更突出。</w:t>
      </w:r>
    </w:p>
    <w:p w14:paraId="00000027" w14:textId="77777777" w:rsidR="00447DB6" w:rsidRPr="00BE7A09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應用</w:t>
      </w:r>
      <w:r w:rsidRPr="00BE7A09">
        <w:rPr>
          <w:rFonts w:eastAsia="標楷體"/>
          <w:color w:val="1F1F1F"/>
        </w:rPr>
        <w:t>：一張投影片只講一個核心概念。</w:t>
      </w:r>
    </w:p>
    <w:p w14:paraId="00000028" w14:textId="77777777" w:rsidR="00447DB6" w:rsidRPr="00BE7A0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圖文比例</w:t>
      </w:r>
      <w:r w:rsidRPr="00BE7A09">
        <w:rPr>
          <w:rFonts w:eastAsia="標楷體"/>
          <w:color w:val="1F1F1F"/>
        </w:rPr>
        <w:t>：</w:t>
      </w:r>
    </w:p>
    <w:p w14:paraId="00000029" w14:textId="77777777" w:rsidR="00447DB6" w:rsidRPr="00BE7A09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原則</w:t>
      </w:r>
      <w:r w:rsidRPr="00BE7A09">
        <w:rPr>
          <w:rFonts w:eastAsia="標楷體"/>
          <w:color w:val="1F1F1F"/>
        </w:rPr>
        <w:t>：簡報</w:t>
      </w:r>
      <w:r w:rsidRPr="00BE7A09">
        <w:rPr>
          <w:rFonts w:eastAsia="標楷體"/>
          <w:color w:val="1F1F1F"/>
        </w:rPr>
        <w:t xml:space="preserve"> $\</w:t>
      </w:r>
      <w:proofErr w:type="spellStart"/>
      <w:r w:rsidRPr="00BE7A09">
        <w:rPr>
          <w:rFonts w:eastAsia="標楷體"/>
          <w:color w:val="1F1F1F"/>
        </w:rPr>
        <w:t>neq</w:t>
      </w:r>
      <w:proofErr w:type="spellEnd"/>
      <w:r w:rsidRPr="00BE7A09">
        <w:rPr>
          <w:rFonts w:eastAsia="標楷體"/>
          <w:color w:val="1F1F1F"/>
        </w:rPr>
        <w:t xml:space="preserve">$ </w:t>
      </w:r>
      <w:r w:rsidRPr="00BE7A09">
        <w:rPr>
          <w:rFonts w:eastAsia="標楷體"/>
          <w:color w:val="1F1F1F"/>
        </w:rPr>
        <w:t>朗讀稿。</w:t>
      </w:r>
    </w:p>
    <w:p w14:paraId="0000002A" w14:textId="77777777" w:rsidR="00447DB6" w:rsidRPr="00BE7A09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規範</w:t>
      </w:r>
      <w:r w:rsidRPr="00BE7A09">
        <w:rPr>
          <w:rFonts w:eastAsia="標楷體"/>
          <w:color w:val="1F1F1F"/>
        </w:rPr>
        <w:t>：圖像佔</w:t>
      </w:r>
      <w:r w:rsidRPr="00BE7A09">
        <w:rPr>
          <w:rFonts w:eastAsia="標楷體"/>
          <w:color w:val="1F1F1F"/>
        </w:rPr>
        <w:t xml:space="preserve"> 60% </w:t>
      </w:r>
      <w:r w:rsidRPr="00BE7A09">
        <w:rPr>
          <w:rFonts w:eastAsia="標楷體"/>
          <w:color w:val="1F1F1F"/>
        </w:rPr>
        <w:t>以上，文字僅列關鍵字或短句。詳細說明由講者口述。</w:t>
      </w:r>
    </w:p>
    <w:p w14:paraId="0000002B" w14:textId="77777777" w:rsidR="00447DB6" w:rsidRPr="00BE7A09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模組三：科學配色與字體</w:t>
      </w:r>
      <w:r w:rsidRPr="00BE7A09">
        <w:rPr>
          <w:rFonts w:eastAsia="標楷體"/>
          <w:color w:val="1F1F1F"/>
        </w:rPr>
        <w:t xml:space="preserve"> (Color &amp; Typography)</w:t>
      </w:r>
    </w:p>
    <w:p w14:paraId="0000002C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b/>
          <w:bCs/>
          <w:color w:val="1F1F1F"/>
        </w:rPr>
        <w:t>目標</w:t>
      </w:r>
      <w:r w:rsidRPr="00BE7A09">
        <w:rPr>
          <w:rFonts w:eastAsia="標楷體"/>
          <w:color w:val="1F1F1F"/>
        </w:rPr>
        <w:t>：營造專業、客觀且舒適的視覺感受。</w:t>
      </w:r>
    </w:p>
    <w:p w14:paraId="0000002D" w14:textId="77777777" w:rsidR="00447DB6" w:rsidRPr="00BE7A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配色建議</w:t>
      </w:r>
      <w:r w:rsidRPr="00BE7A09">
        <w:rPr>
          <w:rFonts w:eastAsia="標楷體"/>
          <w:color w:val="1F1F1F"/>
        </w:rPr>
        <w:t>：</w:t>
      </w:r>
    </w:p>
    <w:p w14:paraId="0000002E" w14:textId="77777777" w:rsidR="00447DB6" w:rsidRPr="00BE7A0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生物</w:t>
      </w:r>
      <w:r w:rsidRPr="00BE7A09">
        <w:rPr>
          <w:rFonts w:eastAsia="標楷體"/>
          <w:b/>
          <w:bCs/>
          <w:color w:val="1F1F1F"/>
        </w:rPr>
        <w:t>/</w:t>
      </w:r>
      <w:r w:rsidRPr="00BE7A09">
        <w:rPr>
          <w:rFonts w:eastAsia="標楷體"/>
          <w:b/>
          <w:bCs/>
          <w:color w:val="1F1F1F"/>
        </w:rPr>
        <w:t>生態類</w:t>
      </w:r>
      <w:r w:rsidRPr="00BE7A09">
        <w:rPr>
          <w:rFonts w:eastAsia="標楷體"/>
          <w:color w:val="1F1F1F"/>
        </w:rPr>
        <w:t>：大地色系。深綠</w:t>
      </w:r>
      <w:r w:rsidRPr="00BE7A09">
        <w:rPr>
          <w:rFonts w:eastAsia="標楷體"/>
          <w:color w:val="1F1F1F"/>
        </w:rPr>
        <w:t xml:space="preserve"> (#2E7D32)</w:t>
      </w:r>
      <w:r w:rsidRPr="00BE7A09">
        <w:rPr>
          <w:rFonts w:eastAsia="標楷體"/>
          <w:color w:val="1F1F1F"/>
        </w:rPr>
        <w:t>、卡其色、棕色，搭配深灰文字。</w:t>
      </w:r>
    </w:p>
    <w:p w14:paraId="0000002F" w14:textId="77777777" w:rsidR="00447DB6" w:rsidRPr="00BE7A09" w:rsidRDefault="00000000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i/>
          <w:iCs/>
          <w:color w:val="1F1F1F"/>
        </w:rPr>
        <w:t>範例</w:t>
      </w:r>
      <w:r w:rsidRPr="00BE7A09">
        <w:rPr>
          <w:rFonts w:eastAsia="標楷體"/>
          <w:color w:val="1F1F1F"/>
        </w:rPr>
        <w:t>：《</w:t>
      </w:r>
      <w:r w:rsidRPr="00BE7A09">
        <w:rPr>
          <w:rFonts w:eastAsia="標楷體"/>
          <w:b/>
          <w:bCs/>
          <w:color w:val="1F1F1F"/>
        </w:rPr>
        <w:t>外來入侵種斑腿樹蛙</w:t>
      </w:r>
      <w:r w:rsidRPr="00BE7A09">
        <w:rPr>
          <w:rFonts w:eastAsia="標楷體"/>
          <w:color w:val="1F1F1F"/>
        </w:rPr>
        <w:t>》使用了綠色系，符合生態主題。</w:t>
      </w:r>
    </w:p>
    <w:p w14:paraId="00000030" w14:textId="77777777" w:rsidR="00447DB6" w:rsidRPr="00BE7A0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分生</w:t>
      </w:r>
      <w:r w:rsidRPr="00BE7A09">
        <w:rPr>
          <w:rFonts w:eastAsia="標楷體"/>
          <w:b/>
          <w:bCs/>
          <w:color w:val="1F1F1F"/>
        </w:rPr>
        <w:t>/</w:t>
      </w:r>
      <w:r w:rsidRPr="00BE7A09">
        <w:rPr>
          <w:rFonts w:eastAsia="標楷體"/>
          <w:b/>
          <w:bCs/>
          <w:color w:val="1F1F1F"/>
        </w:rPr>
        <w:t>化學類</w:t>
      </w:r>
      <w:r w:rsidRPr="00BE7A09">
        <w:rPr>
          <w:rFonts w:eastAsia="標楷體"/>
          <w:color w:val="1F1F1F"/>
        </w:rPr>
        <w:t>：科技冷色系。深藍</w:t>
      </w:r>
      <w:r w:rsidRPr="00BE7A09">
        <w:rPr>
          <w:rFonts w:eastAsia="標楷體"/>
          <w:color w:val="1F1F1F"/>
        </w:rPr>
        <w:t xml:space="preserve"> (#1565C0)</w:t>
      </w:r>
      <w:r w:rsidRPr="00BE7A09">
        <w:rPr>
          <w:rFonts w:eastAsia="標楷體"/>
          <w:color w:val="1F1F1F"/>
        </w:rPr>
        <w:t>、藍灰色、白色。</w:t>
      </w:r>
    </w:p>
    <w:p w14:paraId="00000031" w14:textId="77777777" w:rsidR="00447DB6" w:rsidRPr="00BE7A0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強調色</w:t>
      </w:r>
      <w:r w:rsidRPr="00BE7A09">
        <w:rPr>
          <w:rFonts w:eastAsia="標楷體"/>
          <w:b/>
          <w:bCs/>
          <w:color w:val="1F1F1F"/>
        </w:rPr>
        <w:t xml:space="preserve"> (Accent Color)</w:t>
      </w:r>
      <w:r w:rsidRPr="00BE7A09">
        <w:rPr>
          <w:rFonts w:eastAsia="標楷體"/>
          <w:color w:val="1F1F1F"/>
        </w:rPr>
        <w:t>：使用對比色（如橘色、紅色）來標示數據圖表中的「顯著差異」或「實驗組」。</w:t>
      </w:r>
    </w:p>
    <w:p w14:paraId="00000032" w14:textId="77777777" w:rsidR="00447DB6" w:rsidRPr="00BE7A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字體規範</w:t>
      </w:r>
      <w:r w:rsidRPr="00BE7A09">
        <w:rPr>
          <w:rFonts w:eastAsia="標楷體"/>
          <w:color w:val="1F1F1F"/>
        </w:rPr>
        <w:t>：</w:t>
      </w:r>
    </w:p>
    <w:p w14:paraId="00000033" w14:textId="77777777" w:rsidR="00447DB6" w:rsidRPr="00BE7A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中文</w:t>
      </w:r>
      <w:r w:rsidRPr="00BE7A09">
        <w:rPr>
          <w:rFonts w:eastAsia="標楷體"/>
          <w:color w:val="1F1F1F"/>
        </w:rPr>
        <w:t>：微軟正黑體</w:t>
      </w:r>
      <w:r w:rsidRPr="00BE7A09">
        <w:rPr>
          <w:rFonts w:eastAsia="標楷體"/>
          <w:color w:val="1F1F1F"/>
        </w:rPr>
        <w:t xml:space="preserve"> (Bold)</w:t>
      </w:r>
      <w:r w:rsidRPr="00BE7A09">
        <w:rPr>
          <w:rFonts w:eastAsia="標楷體"/>
          <w:color w:val="1F1F1F"/>
        </w:rPr>
        <w:t>、思源黑體</w:t>
      </w:r>
      <w:r w:rsidRPr="00BE7A09">
        <w:rPr>
          <w:rFonts w:eastAsia="標楷體"/>
          <w:color w:val="1F1F1F"/>
        </w:rPr>
        <w:t xml:space="preserve"> (Source Han Sans)</w:t>
      </w:r>
      <w:r w:rsidRPr="00BE7A09">
        <w:rPr>
          <w:rFonts w:eastAsia="標楷體"/>
          <w:color w:val="1F1F1F"/>
        </w:rPr>
        <w:t>。</w:t>
      </w:r>
      <w:r w:rsidRPr="00BE7A09">
        <w:rPr>
          <w:rFonts w:eastAsia="標楷體"/>
          <w:b/>
          <w:bCs/>
          <w:color w:val="1F1F1F"/>
        </w:rPr>
        <w:t>禁用</w:t>
      </w:r>
      <w:r w:rsidRPr="00BE7A09">
        <w:rPr>
          <w:rFonts w:eastAsia="標楷體"/>
          <w:color w:val="1F1F1F"/>
        </w:rPr>
        <w:t>新細明體（投影片上線條過細）。</w:t>
      </w:r>
    </w:p>
    <w:p w14:paraId="00000034" w14:textId="77777777" w:rsidR="00447DB6" w:rsidRPr="00BE7A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英文</w:t>
      </w:r>
      <w:r w:rsidRPr="00BE7A09">
        <w:rPr>
          <w:rFonts w:eastAsia="標楷體"/>
          <w:b/>
          <w:bCs/>
          <w:color w:val="1F1F1F"/>
        </w:rPr>
        <w:t>/</w:t>
      </w:r>
      <w:r w:rsidRPr="00BE7A09">
        <w:rPr>
          <w:rFonts w:eastAsia="標楷體"/>
          <w:b/>
          <w:bCs/>
          <w:color w:val="1F1F1F"/>
        </w:rPr>
        <w:t>數字</w:t>
      </w:r>
      <w:r w:rsidRPr="00BE7A09">
        <w:rPr>
          <w:rFonts w:eastAsia="標楷體"/>
          <w:color w:val="1F1F1F"/>
        </w:rPr>
        <w:t>：</w:t>
      </w:r>
      <w:r w:rsidRPr="00BE7A09">
        <w:rPr>
          <w:rFonts w:eastAsia="標楷體"/>
          <w:color w:val="1F1F1F"/>
        </w:rPr>
        <w:t>Arial, Roboto, Helvetica</w:t>
      </w:r>
      <w:r w:rsidRPr="00BE7A09">
        <w:rPr>
          <w:rFonts w:eastAsia="標楷體"/>
          <w:color w:val="1F1F1F"/>
        </w:rPr>
        <w:t>。無襯線字體較易於螢幕閱讀。</w:t>
      </w:r>
    </w:p>
    <w:p w14:paraId="00000035" w14:textId="77777777" w:rsidR="00447DB6" w:rsidRPr="00BE7A0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大小</w:t>
      </w:r>
      <w:r w:rsidRPr="00BE7A09">
        <w:rPr>
          <w:rFonts w:eastAsia="標楷體"/>
          <w:color w:val="1F1F1F"/>
        </w:rPr>
        <w:t>：標題</w:t>
      </w:r>
      <w:r w:rsidRPr="00BE7A09">
        <w:rPr>
          <w:rFonts w:eastAsia="標楷體"/>
          <w:color w:val="1F1F1F"/>
        </w:rPr>
        <w:t xml:space="preserve"> &gt; 32pt</w:t>
      </w:r>
      <w:r w:rsidRPr="00BE7A09">
        <w:rPr>
          <w:rFonts w:eastAsia="標楷體"/>
          <w:color w:val="1F1F1F"/>
        </w:rPr>
        <w:t>，重點內文</w:t>
      </w:r>
      <w:r w:rsidRPr="00BE7A09">
        <w:rPr>
          <w:rFonts w:eastAsia="標楷體"/>
          <w:color w:val="1F1F1F"/>
        </w:rPr>
        <w:t xml:space="preserve"> &gt; 24pt</w:t>
      </w:r>
      <w:r w:rsidRPr="00BE7A09">
        <w:rPr>
          <w:rFonts w:eastAsia="標楷體"/>
          <w:color w:val="1F1F1F"/>
        </w:rPr>
        <w:t>，圖表座標軸</w:t>
      </w:r>
      <w:r w:rsidRPr="00BE7A09">
        <w:rPr>
          <w:rFonts w:eastAsia="標楷體"/>
          <w:color w:val="1F1F1F"/>
        </w:rPr>
        <w:t xml:space="preserve"> &gt; 18pt</w:t>
      </w:r>
      <w:r w:rsidRPr="00BE7A09">
        <w:rPr>
          <w:rFonts w:eastAsia="標楷體"/>
          <w:color w:val="1F1F1F"/>
        </w:rPr>
        <w:t>。</w:t>
      </w:r>
    </w:p>
    <w:p w14:paraId="00000036" w14:textId="77777777" w:rsidR="00447DB6" w:rsidRPr="00BE7A09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模組四：數據與圖表優化</w:t>
      </w:r>
      <w:r w:rsidRPr="00BE7A09">
        <w:rPr>
          <w:rFonts w:eastAsia="標楷體"/>
          <w:color w:val="1F1F1F"/>
        </w:rPr>
        <w:t xml:space="preserve"> (Data Visualization)</w:t>
      </w:r>
    </w:p>
    <w:p w14:paraId="00000037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b/>
          <w:bCs/>
          <w:color w:val="1F1F1F"/>
        </w:rPr>
        <w:t>目標</w:t>
      </w:r>
      <w:r w:rsidRPr="00BE7A09">
        <w:rPr>
          <w:rFonts w:eastAsia="標楷體"/>
          <w:color w:val="1F1F1F"/>
        </w:rPr>
        <w:t>：讓數據說話，一眼看出趨勢。</w:t>
      </w:r>
    </w:p>
    <w:p w14:paraId="00000038" w14:textId="77777777" w:rsidR="00447DB6" w:rsidRPr="00BE7A0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lastRenderedPageBreak/>
        <w:t>圖表簡化</w:t>
      </w:r>
      <w:r w:rsidRPr="00BE7A09">
        <w:rPr>
          <w:rFonts w:eastAsia="標楷體"/>
          <w:b/>
          <w:bCs/>
          <w:color w:val="1F1F1F"/>
        </w:rPr>
        <w:t xml:space="preserve"> (De-cluttering)</w:t>
      </w:r>
      <w:r w:rsidRPr="00BE7A09">
        <w:rPr>
          <w:rFonts w:eastAsia="標楷體"/>
          <w:color w:val="1F1F1F"/>
        </w:rPr>
        <w:t>：</w:t>
      </w:r>
    </w:p>
    <w:p w14:paraId="00000039" w14:textId="77777777" w:rsidR="00447DB6" w:rsidRPr="00BE7A0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>移除</w:t>
      </w:r>
      <w:r w:rsidRPr="00BE7A09">
        <w:rPr>
          <w:rFonts w:eastAsia="標楷體"/>
          <w:color w:val="1F1F1F"/>
        </w:rPr>
        <w:t xml:space="preserve"> Excel </w:t>
      </w:r>
      <w:r w:rsidRPr="00BE7A09">
        <w:rPr>
          <w:rFonts w:eastAsia="標楷體"/>
          <w:color w:val="1F1F1F"/>
        </w:rPr>
        <w:t>預設的格線、陰影、</w:t>
      </w:r>
      <w:r w:rsidRPr="00BE7A09">
        <w:rPr>
          <w:rFonts w:eastAsia="標楷體"/>
          <w:color w:val="1F1F1F"/>
        </w:rPr>
        <w:t xml:space="preserve">3D </w:t>
      </w:r>
      <w:r w:rsidRPr="00BE7A09">
        <w:rPr>
          <w:rFonts w:eastAsia="標楷體"/>
          <w:color w:val="1F1F1F"/>
        </w:rPr>
        <w:t>效果。</w:t>
      </w:r>
    </w:p>
    <w:p w14:paraId="0000003A" w14:textId="77777777" w:rsidR="00447DB6" w:rsidRPr="00BE7A0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>背景應為全白或透明，避免干擾數據點。</w:t>
      </w:r>
    </w:p>
    <w:p w14:paraId="0000003B" w14:textId="77777777" w:rsidR="00447DB6" w:rsidRPr="00BE7A0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標示重點</w:t>
      </w:r>
      <w:r w:rsidRPr="00BE7A09">
        <w:rPr>
          <w:rFonts w:eastAsia="標楷體"/>
          <w:b/>
          <w:bCs/>
          <w:color w:val="1F1F1F"/>
        </w:rPr>
        <w:t xml:space="preserve"> (Annotation)</w:t>
      </w:r>
      <w:r w:rsidRPr="00BE7A09">
        <w:rPr>
          <w:rFonts w:eastAsia="標楷體"/>
          <w:color w:val="1F1F1F"/>
        </w:rPr>
        <w:t>：</w:t>
      </w:r>
    </w:p>
    <w:p w14:paraId="0000003C" w14:textId="77777777" w:rsidR="00447DB6" w:rsidRPr="00BE7A09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直接標示</w:t>
      </w:r>
      <w:r w:rsidRPr="00BE7A09">
        <w:rPr>
          <w:rFonts w:eastAsia="標楷體"/>
          <w:color w:val="1F1F1F"/>
        </w:rPr>
        <w:t>：將圖例</w:t>
      </w:r>
      <w:r w:rsidRPr="00BE7A09">
        <w:rPr>
          <w:rFonts w:eastAsia="標楷體"/>
          <w:color w:val="1F1F1F"/>
        </w:rPr>
        <w:t xml:space="preserve"> (Legend) </w:t>
      </w:r>
      <w:r w:rsidRPr="00BE7A09">
        <w:rPr>
          <w:rFonts w:eastAsia="標楷體"/>
          <w:color w:val="1F1F1F"/>
        </w:rPr>
        <w:t>直接移到折線旁，而非放在圖表下方。</w:t>
      </w:r>
    </w:p>
    <w:p w14:paraId="0000003D" w14:textId="77777777" w:rsidR="00447DB6" w:rsidRPr="00BE7A09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顯著性標示</w:t>
      </w:r>
      <w:r w:rsidRPr="00BE7A09">
        <w:rPr>
          <w:rFonts w:eastAsia="標楷體"/>
          <w:color w:val="1F1F1F"/>
        </w:rPr>
        <w:t>：如《</w:t>
      </w:r>
      <w:r w:rsidRPr="00BE7A09">
        <w:rPr>
          <w:rFonts w:eastAsia="標楷體"/>
          <w:b/>
          <w:bCs/>
          <w:color w:val="1F1F1F"/>
        </w:rPr>
        <w:t>馬陸中獎決審</w:t>
      </w:r>
      <w:r w:rsidRPr="00BE7A09">
        <w:rPr>
          <w:rFonts w:eastAsia="標楷體"/>
          <w:color w:val="1F1F1F"/>
        </w:rPr>
        <w:t>》中的長條圖，明確標示了星號</w:t>
      </w:r>
      <w:r w:rsidRPr="00BE7A09">
        <w:rPr>
          <w:rFonts w:eastAsia="標楷體"/>
          <w:color w:val="1F1F1F"/>
        </w:rPr>
        <w:t xml:space="preserve"> (*) </w:t>
      </w:r>
      <w:r w:rsidRPr="00BE7A09">
        <w:rPr>
          <w:rFonts w:eastAsia="標楷體"/>
          <w:color w:val="1F1F1F"/>
        </w:rPr>
        <w:t>或英文字母</w:t>
      </w:r>
      <w:r w:rsidRPr="00BE7A09">
        <w:rPr>
          <w:rFonts w:eastAsia="標楷體"/>
          <w:color w:val="1F1F1F"/>
        </w:rPr>
        <w:t xml:space="preserve"> (a, b) </w:t>
      </w:r>
      <w:r w:rsidRPr="00BE7A09">
        <w:rPr>
          <w:rFonts w:eastAsia="標楷體"/>
          <w:color w:val="1F1F1F"/>
        </w:rPr>
        <w:t>來代表統計上的顯著差異</w:t>
      </w:r>
      <w:r w:rsidRPr="00BE7A09">
        <w:rPr>
          <w:rFonts w:eastAsia="標楷體"/>
          <w:color w:val="1F1F1F"/>
        </w:rPr>
        <w:t xml:space="preserve"> (P&lt;0.05)</w:t>
      </w:r>
      <w:r w:rsidRPr="00BE7A09">
        <w:rPr>
          <w:rFonts w:eastAsia="標楷體"/>
          <w:color w:val="1F1F1F"/>
        </w:rPr>
        <w:t>。</w:t>
      </w:r>
    </w:p>
    <w:p w14:paraId="0000003E" w14:textId="77777777" w:rsidR="00447DB6" w:rsidRPr="00BE7A0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b/>
          <w:bCs/>
          <w:color w:val="1F1F1F"/>
        </w:rPr>
        <w:t>影像證據</w:t>
      </w:r>
      <w:r w:rsidRPr="00BE7A09">
        <w:rPr>
          <w:rFonts w:eastAsia="標楷體"/>
          <w:color w:val="1F1F1F"/>
        </w:rPr>
        <w:t>：</w:t>
      </w:r>
    </w:p>
    <w:p w14:paraId="0000003F" w14:textId="77777777" w:rsidR="00447DB6" w:rsidRPr="00BE7A0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>所有顯微照片、生物外觀照，務必加上</w:t>
      </w:r>
      <w:r w:rsidRPr="00BE7A09">
        <w:rPr>
          <w:rFonts w:eastAsia="標楷體"/>
          <w:b/>
          <w:bCs/>
          <w:color w:val="1F1F1F"/>
        </w:rPr>
        <w:t>比例尺</w:t>
      </w:r>
      <w:r w:rsidRPr="00BE7A09">
        <w:rPr>
          <w:rFonts w:eastAsia="標楷體"/>
          <w:color w:val="1F1F1F"/>
        </w:rPr>
        <w:t>。</w:t>
      </w:r>
    </w:p>
    <w:p w14:paraId="00000040" w14:textId="77777777" w:rsidR="00447DB6" w:rsidRPr="00BE7A0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>使用箭頭或虛線圈選，直接指出你要觀眾看的構造（如《</w:t>
      </w:r>
      <w:r w:rsidRPr="00BE7A09">
        <w:rPr>
          <w:rFonts w:eastAsia="標楷體"/>
          <w:b/>
          <w:bCs/>
          <w:color w:val="1F1F1F"/>
        </w:rPr>
        <w:t>盾蝸牛殼毛</w:t>
      </w:r>
      <w:r w:rsidRPr="00BE7A09">
        <w:rPr>
          <w:rFonts w:eastAsia="標楷體"/>
          <w:color w:val="1F1F1F"/>
        </w:rPr>
        <w:t>》的構造圖）。</w:t>
      </w:r>
    </w:p>
    <w:p w14:paraId="00000041" w14:textId="77777777" w:rsidR="00447DB6" w:rsidRPr="00BE7A09" w:rsidRDefault="00000000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第三部分：學生實作檢核表</w:t>
      </w:r>
      <w:r w:rsidRPr="00BE7A09">
        <w:rPr>
          <w:rFonts w:eastAsia="標楷體"/>
          <w:color w:val="1F1F1F"/>
        </w:rPr>
        <w:t xml:space="preserve"> (Student Checklist)</w:t>
      </w:r>
    </w:p>
    <w:p w14:paraId="00000042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在完成簡報草稿後，請依此表進行自我檢查：</w:t>
      </w:r>
    </w:p>
    <w:p w14:paraId="00000043" w14:textId="77777777" w:rsidR="00447DB6" w:rsidRPr="00BE7A09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 xml:space="preserve">1. </w:t>
      </w:r>
      <w:r w:rsidRPr="00BE7A09">
        <w:rPr>
          <w:rFonts w:eastAsia="標楷體"/>
          <w:color w:val="1F1F1F"/>
        </w:rPr>
        <w:t>內容邏輯</w:t>
      </w:r>
      <w:r w:rsidRPr="00BE7A09">
        <w:rPr>
          <w:rFonts w:eastAsia="標楷體"/>
          <w:color w:val="1F1F1F"/>
        </w:rPr>
        <w:t xml:space="preserve"> (Logic)</w:t>
      </w:r>
    </w:p>
    <w:p w14:paraId="00000044" w14:textId="77777777" w:rsidR="00447DB6" w:rsidRPr="00BE7A0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連貫性</w:t>
      </w:r>
      <w:r w:rsidRPr="00BE7A09">
        <w:rPr>
          <w:rFonts w:eastAsia="標楷體"/>
          <w:color w:val="1F1F1F"/>
        </w:rPr>
        <w:t>：結論是否直接回答了前言提出的「研究問題」？</w:t>
      </w:r>
    </w:p>
    <w:p w14:paraId="00000045" w14:textId="77777777" w:rsidR="00447DB6" w:rsidRPr="00BE7A0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證據力</w:t>
      </w:r>
      <w:r w:rsidRPr="00BE7A09">
        <w:rPr>
          <w:rFonts w:eastAsia="標楷體"/>
          <w:color w:val="1F1F1F"/>
        </w:rPr>
        <w:t>：每一個結論都有對應的實驗數據或照片支持嗎？</w:t>
      </w:r>
    </w:p>
    <w:p w14:paraId="00000046" w14:textId="77777777" w:rsidR="00447DB6" w:rsidRPr="00BE7A09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變因明確</w:t>
      </w:r>
      <w:r w:rsidRPr="00BE7A09">
        <w:rPr>
          <w:rFonts w:eastAsia="標楷體"/>
          <w:color w:val="1F1F1F"/>
        </w:rPr>
        <w:t>：聽眾能清楚分辨操縱變因（我改變了什麼）和應變變因（我測量了什麼）嗎？</w:t>
      </w:r>
    </w:p>
    <w:p w14:paraId="00000047" w14:textId="77777777" w:rsidR="00447DB6" w:rsidRPr="00BE7A09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 xml:space="preserve">2. </w:t>
      </w:r>
      <w:r w:rsidRPr="00BE7A09">
        <w:rPr>
          <w:rFonts w:eastAsia="標楷體"/>
          <w:color w:val="1F1F1F"/>
        </w:rPr>
        <w:t>視覺設計</w:t>
      </w:r>
      <w:r w:rsidRPr="00BE7A09">
        <w:rPr>
          <w:rFonts w:eastAsia="標楷體"/>
          <w:color w:val="1F1F1F"/>
        </w:rPr>
        <w:t xml:space="preserve"> (Design)</w:t>
      </w:r>
    </w:p>
    <w:p w14:paraId="00000048" w14:textId="77777777" w:rsidR="00447DB6" w:rsidRPr="00BE7A0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字體統一</w:t>
      </w:r>
      <w:r w:rsidRPr="00BE7A09">
        <w:rPr>
          <w:rFonts w:eastAsia="標楷體"/>
          <w:color w:val="1F1F1F"/>
        </w:rPr>
        <w:t>：整份簡報使用的字體不超過</w:t>
      </w:r>
      <w:r w:rsidRPr="00BE7A09">
        <w:rPr>
          <w:rFonts w:eastAsia="標楷體"/>
          <w:color w:val="1F1F1F"/>
        </w:rPr>
        <w:t xml:space="preserve"> 2 </w:t>
      </w:r>
      <w:r w:rsidRPr="00BE7A09">
        <w:rPr>
          <w:rFonts w:eastAsia="標楷體"/>
          <w:color w:val="1F1F1F"/>
        </w:rPr>
        <w:t>種。</w:t>
      </w:r>
    </w:p>
    <w:p w14:paraId="00000049" w14:textId="77777777" w:rsidR="00447DB6" w:rsidRPr="00BE7A0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對齊</w:t>
      </w:r>
      <w:r w:rsidRPr="00BE7A09">
        <w:rPr>
          <w:rFonts w:eastAsia="標楷體"/>
          <w:color w:val="1F1F1F"/>
        </w:rPr>
        <w:t>：標題位置在每一頁都固定，沒有跳動。</w:t>
      </w:r>
    </w:p>
    <w:p w14:paraId="0000004A" w14:textId="77777777" w:rsidR="00447DB6" w:rsidRPr="00BE7A0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對比</w:t>
      </w:r>
      <w:r w:rsidRPr="00BE7A09">
        <w:rPr>
          <w:rFonts w:eastAsia="標楷體"/>
          <w:color w:val="1F1F1F"/>
        </w:rPr>
        <w:t>：文字顏色與背景有足夠的對比度（投影出來清楚嗎？）。</w:t>
      </w:r>
    </w:p>
    <w:p w14:paraId="0000004B" w14:textId="77777777" w:rsidR="00447DB6" w:rsidRPr="00BE7A0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清晰度</w:t>
      </w:r>
      <w:r w:rsidRPr="00BE7A09">
        <w:rPr>
          <w:rFonts w:eastAsia="標楷體"/>
          <w:color w:val="1F1F1F"/>
        </w:rPr>
        <w:t>：所有圖片放大後都不模糊，沒有變形（長寬比鎖定）。</w:t>
      </w:r>
    </w:p>
    <w:p w14:paraId="0000004C" w14:textId="77777777" w:rsidR="00447DB6" w:rsidRPr="00BE7A09" w:rsidRDefault="00000000">
      <w:pPr>
        <w:pStyle w:val="3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 xml:space="preserve">3. </w:t>
      </w:r>
      <w:r w:rsidRPr="00BE7A09">
        <w:rPr>
          <w:rFonts w:eastAsia="標楷體"/>
          <w:color w:val="1F1F1F"/>
        </w:rPr>
        <w:t>科學規範</w:t>
      </w:r>
      <w:r w:rsidRPr="00BE7A09">
        <w:rPr>
          <w:rFonts w:eastAsia="標楷體"/>
          <w:color w:val="1F1F1F"/>
        </w:rPr>
        <w:t xml:space="preserve"> (Scientific Standards)</w:t>
      </w:r>
    </w:p>
    <w:p w14:paraId="0000004D" w14:textId="77777777" w:rsidR="00447DB6" w:rsidRPr="00BE7A0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比例尺</w:t>
      </w:r>
      <w:r w:rsidRPr="00BE7A09">
        <w:rPr>
          <w:rFonts w:eastAsia="標楷體"/>
          <w:color w:val="1F1F1F"/>
        </w:rPr>
        <w:t>：顯微鏡或微距照片都有標示比例尺。</w:t>
      </w:r>
    </w:p>
    <w:p w14:paraId="0000004E" w14:textId="77777777" w:rsidR="00447DB6" w:rsidRPr="00BE7A0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圖表單位</w:t>
      </w:r>
      <w:r w:rsidRPr="00BE7A09">
        <w:rPr>
          <w:rFonts w:eastAsia="標楷體"/>
          <w:color w:val="1F1F1F"/>
        </w:rPr>
        <w:t>：</w:t>
      </w:r>
      <w:r w:rsidRPr="00BE7A09">
        <w:rPr>
          <w:rFonts w:eastAsia="標楷體"/>
          <w:color w:val="1F1F1F"/>
        </w:rPr>
        <w:t xml:space="preserve">X </w:t>
      </w:r>
      <w:r w:rsidRPr="00BE7A09">
        <w:rPr>
          <w:rFonts w:eastAsia="標楷體"/>
          <w:color w:val="1F1F1F"/>
        </w:rPr>
        <w:t>軸與</w:t>
      </w:r>
      <w:r w:rsidRPr="00BE7A09">
        <w:rPr>
          <w:rFonts w:eastAsia="標楷體"/>
          <w:color w:val="1F1F1F"/>
        </w:rPr>
        <w:t xml:space="preserve"> Y </w:t>
      </w:r>
      <w:r w:rsidRPr="00BE7A09">
        <w:rPr>
          <w:rFonts w:eastAsia="標楷體"/>
          <w:color w:val="1F1F1F"/>
        </w:rPr>
        <w:t>軸都有清楚的物理量與單位（如：長度</w:t>
      </w:r>
      <w:r w:rsidRPr="00BE7A09">
        <w:rPr>
          <w:rFonts w:eastAsia="標楷體"/>
          <w:color w:val="1F1F1F"/>
        </w:rPr>
        <w:t xml:space="preserve"> (cm)</w:t>
      </w:r>
      <w:r w:rsidRPr="00BE7A09">
        <w:rPr>
          <w:rFonts w:eastAsia="標楷體"/>
          <w:color w:val="1F1F1F"/>
        </w:rPr>
        <w:t>、時間</w:t>
      </w:r>
      <w:r w:rsidRPr="00BE7A09">
        <w:rPr>
          <w:rFonts w:eastAsia="標楷體"/>
          <w:color w:val="1F1F1F"/>
        </w:rPr>
        <w:t xml:space="preserve"> (s)</w:t>
      </w:r>
      <w:r w:rsidRPr="00BE7A09">
        <w:rPr>
          <w:rFonts w:eastAsia="標楷體"/>
          <w:color w:val="1F1F1F"/>
        </w:rPr>
        <w:t>）。</w:t>
      </w:r>
    </w:p>
    <w:p w14:paraId="0000004F" w14:textId="77777777" w:rsidR="00447DB6" w:rsidRPr="00BE7A0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誤差線</w:t>
      </w:r>
      <w:r w:rsidRPr="00BE7A09">
        <w:rPr>
          <w:rFonts w:eastAsia="標楷體"/>
          <w:color w:val="1F1F1F"/>
        </w:rPr>
        <w:t>：平均值的長條圖上有標示標準差</w:t>
      </w:r>
      <w:r w:rsidRPr="00BE7A09">
        <w:rPr>
          <w:rFonts w:eastAsia="標楷體"/>
          <w:color w:val="1F1F1F"/>
        </w:rPr>
        <w:t xml:space="preserve"> (Error Bar)</w:t>
      </w:r>
      <w:r w:rsidRPr="00BE7A09">
        <w:rPr>
          <w:rFonts w:eastAsia="標楷體"/>
          <w:color w:val="1F1F1F"/>
        </w:rPr>
        <w:t>。</w:t>
      </w:r>
    </w:p>
    <w:p w14:paraId="00000050" w14:textId="77777777" w:rsidR="00447DB6" w:rsidRPr="00BE7A09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BE7A09">
        <w:rPr>
          <w:rFonts w:eastAsia="標楷體"/>
          <w:color w:val="1F1F1F"/>
        </w:rPr>
        <w:t xml:space="preserve">[ ] </w:t>
      </w:r>
      <w:r w:rsidRPr="00BE7A09">
        <w:rPr>
          <w:rFonts w:eastAsia="標楷體"/>
          <w:b/>
          <w:bCs/>
          <w:color w:val="1F1F1F"/>
        </w:rPr>
        <w:t>引用</w:t>
      </w:r>
      <w:r w:rsidRPr="00BE7A09">
        <w:rPr>
          <w:rFonts w:eastAsia="標楷體"/>
          <w:color w:val="1F1F1F"/>
        </w:rPr>
        <w:t>：引用他人的圖片或文獻有標示出處。</w:t>
      </w:r>
    </w:p>
    <w:p w14:paraId="00000051" w14:textId="77777777" w:rsidR="00447DB6" w:rsidRPr="00BE7A09" w:rsidRDefault="00000000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結語</w:t>
      </w:r>
    </w:p>
    <w:p w14:paraId="00000052" w14:textId="77777777" w:rsidR="00447DB6" w:rsidRPr="00BE7A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BE7A09">
        <w:rPr>
          <w:rFonts w:eastAsia="標楷體"/>
          <w:color w:val="1F1F1F"/>
        </w:rPr>
        <w:t>這十份麗山高中的作品證明了，優秀的科學簡報不僅是展示數據，更是一場邏輯與美學的展演。透過模仿這些範例中的</w:t>
      </w:r>
      <w:r w:rsidRPr="00BE7A09">
        <w:rPr>
          <w:rFonts w:eastAsia="標楷體"/>
          <w:b/>
          <w:bCs/>
          <w:color w:val="1F1F1F"/>
        </w:rPr>
        <w:t>圖像化技巧</w:t>
      </w:r>
      <w:r w:rsidRPr="00BE7A09">
        <w:rPr>
          <w:rFonts w:eastAsia="標楷體"/>
          <w:color w:val="1F1F1F"/>
        </w:rPr>
        <w:t>（如</w:t>
      </w:r>
      <w:r w:rsidRPr="00BE7A09">
        <w:rPr>
          <w:rFonts w:eastAsia="標楷體"/>
          <w:color w:val="1F1F1F"/>
        </w:rPr>
        <w:t xml:space="preserve"> Tracker </w:t>
      </w:r>
      <w:r w:rsidRPr="00BE7A09">
        <w:rPr>
          <w:rFonts w:eastAsia="標楷體"/>
          <w:color w:val="1F1F1F"/>
        </w:rPr>
        <w:t>分析圖、顯微切片）與</w:t>
      </w:r>
      <w:r w:rsidRPr="00BE7A09">
        <w:rPr>
          <w:rFonts w:eastAsia="標楷體"/>
          <w:b/>
          <w:bCs/>
          <w:color w:val="1F1F1F"/>
        </w:rPr>
        <w:t>結構化佈局</w:t>
      </w:r>
      <w:r w:rsidRPr="00BE7A09">
        <w:rPr>
          <w:rFonts w:eastAsia="標楷體"/>
          <w:color w:val="1F1F1F"/>
        </w:rPr>
        <w:t>，學生們將能更有效地傳達他們的科學發現。</w:t>
      </w:r>
    </w:p>
    <w:sectPr w:rsidR="00447DB6" w:rsidRPr="00BE7A0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B7A56B12-A91F-D344-8279-F78A4A8DE26B}"/>
    <w:embedBold r:id="rId2" w:fontKey="{959E9D79-A764-5747-95B3-E7073B4446A8}"/>
    <w:embedItalic r:id="rId3" w:fontKey="{E0A94697-D8AD-114D-9748-1CD27928C2B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331CBB2-7ED6-CE4E-8CE2-E49F9A6981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060D206-E192-7648-A05C-392FF29E93D7}"/>
  </w:font>
  <w:font w:name="標楷體">
    <w:altName w:val="DF Kai Shu"/>
    <w:panose1 w:val="020B0604020202020204"/>
    <w:charset w:val="88"/>
    <w:family w:val="script"/>
    <w:pitch w:val="fixed"/>
    <w:sig w:usb0="00000003" w:usb1="080E0000" w:usb2="00000016" w:usb3="00000000" w:csb0="00100001" w:csb1="00000000"/>
    <w:embedRegular r:id="rId6" w:subsetted="1" w:fontKey="{F9F0A859-5325-F241-8B94-4BD1E8579AB6}"/>
    <w:embedBold r:id="rId7" w:subsetted="1" w:fontKey="{40FFDD12-D931-1348-B703-C71269745DAD}"/>
    <w:embedItalic r:id="rId8" w:subsetted="1" w:fontKey="{7104F59A-A2D1-174D-95A7-4131AA6151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8D71644A-4D2E-144E-AFC0-840DBCEB22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832C208-C4BB-C847-8EF7-6795F00629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E08"/>
    <w:multiLevelType w:val="multilevel"/>
    <w:tmpl w:val="853CBB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F33D46"/>
    <w:multiLevelType w:val="multilevel"/>
    <w:tmpl w:val="ED883D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532490"/>
    <w:multiLevelType w:val="multilevel"/>
    <w:tmpl w:val="C49411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0A7C33"/>
    <w:multiLevelType w:val="multilevel"/>
    <w:tmpl w:val="F306B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8B479F8"/>
    <w:multiLevelType w:val="multilevel"/>
    <w:tmpl w:val="F6C46C4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90D47B3"/>
    <w:multiLevelType w:val="multilevel"/>
    <w:tmpl w:val="CFF0D6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A7E12CE"/>
    <w:multiLevelType w:val="multilevel"/>
    <w:tmpl w:val="30BAB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7A80F21"/>
    <w:multiLevelType w:val="multilevel"/>
    <w:tmpl w:val="30A6D3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91302B4"/>
    <w:multiLevelType w:val="multilevel"/>
    <w:tmpl w:val="DC5C67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9833DE4"/>
    <w:multiLevelType w:val="multilevel"/>
    <w:tmpl w:val="1A30E1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23C5402"/>
    <w:multiLevelType w:val="multilevel"/>
    <w:tmpl w:val="2AF0B7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6F2141F"/>
    <w:multiLevelType w:val="multilevel"/>
    <w:tmpl w:val="379E16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E0F110E"/>
    <w:multiLevelType w:val="multilevel"/>
    <w:tmpl w:val="D842E81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3A72422"/>
    <w:multiLevelType w:val="multilevel"/>
    <w:tmpl w:val="B352D9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10B58BE"/>
    <w:multiLevelType w:val="multilevel"/>
    <w:tmpl w:val="78526A0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F5C1A4F"/>
    <w:multiLevelType w:val="multilevel"/>
    <w:tmpl w:val="DBF833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F910FEA"/>
    <w:multiLevelType w:val="multilevel"/>
    <w:tmpl w:val="56685CB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0CE01CA"/>
    <w:multiLevelType w:val="multilevel"/>
    <w:tmpl w:val="BF049E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6E10015"/>
    <w:multiLevelType w:val="multilevel"/>
    <w:tmpl w:val="A03E18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10D5E79"/>
    <w:multiLevelType w:val="multilevel"/>
    <w:tmpl w:val="46325C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3D51641"/>
    <w:multiLevelType w:val="multilevel"/>
    <w:tmpl w:val="EF6A77B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7FB39A5"/>
    <w:multiLevelType w:val="multilevel"/>
    <w:tmpl w:val="55B20C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A0E3443"/>
    <w:multiLevelType w:val="multilevel"/>
    <w:tmpl w:val="42505C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AFC5695"/>
    <w:multiLevelType w:val="multilevel"/>
    <w:tmpl w:val="C0E82B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D7533DB"/>
    <w:multiLevelType w:val="multilevel"/>
    <w:tmpl w:val="2D72FE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DB73545"/>
    <w:multiLevelType w:val="multilevel"/>
    <w:tmpl w:val="BE600B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74822499">
    <w:abstractNumId w:val="17"/>
  </w:num>
  <w:num w:numId="2" w16cid:durableId="289282578">
    <w:abstractNumId w:val="14"/>
  </w:num>
  <w:num w:numId="3" w16cid:durableId="257032768">
    <w:abstractNumId w:val="13"/>
  </w:num>
  <w:num w:numId="4" w16cid:durableId="1274829219">
    <w:abstractNumId w:val="19"/>
  </w:num>
  <w:num w:numId="5" w16cid:durableId="1584295591">
    <w:abstractNumId w:val="11"/>
  </w:num>
  <w:num w:numId="6" w16cid:durableId="1683699002">
    <w:abstractNumId w:val="12"/>
  </w:num>
  <w:num w:numId="7" w16cid:durableId="1278297349">
    <w:abstractNumId w:val="22"/>
  </w:num>
  <w:num w:numId="8" w16cid:durableId="227763713">
    <w:abstractNumId w:val="8"/>
  </w:num>
  <w:num w:numId="9" w16cid:durableId="1169367221">
    <w:abstractNumId w:val="21"/>
  </w:num>
  <w:num w:numId="10" w16cid:durableId="1756978427">
    <w:abstractNumId w:val="6"/>
  </w:num>
  <w:num w:numId="11" w16cid:durableId="1496142489">
    <w:abstractNumId w:val="3"/>
  </w:num>
  <w:num w:numId="12" w16cid:durableId="936324785">
    <w:abstractNumId w:val="5"/>
  </w:num>
  <w:num w:numId="13" w16cid:durableId="1076433889">
    <w:abstractNumId w:val="1"/>
  </w:num>
  <w:num w:numId="14" w16cid:durableId="1760297115">
    <w:abstractNumId w:val="0"/>
  </w:num>
  <w:num w:numId="15" w16cid:durableId="827012656">
    <w:abstractNumId w:val="2"/>
  </w:num>
  <w:num w:numId="16" w16cid:durableId="1174609849">
    <w:abstractNumId w:val="24"/>
  </w:num>
  <w:num w:numId="17" w16cid:durableId="1938249173">
    <w:abstractNumId w:val="10"/>
  </w:num>
  <w:num w:numId="18" w16cid:durableId="1645551079">
    <w:abstractNumId w:val="15"/>
  </w:num>
  <w:num w:numId="19" w16cid:durableId="1660962769">
    <w:abstractNumId w:val="7"/>
  </w:num>
  <w:num w:numId="20" w16cid:durableId="946085635">
    <w:abstractNumId w:val="4"/>
  </w:num>
  <w:num w:numId="21" w16cid:durableId="1140220934">
    <w:abstractNumId w:val="16"/>
  </w:num>
  <w:num w:numId="22" w16cid:durableId="358624999">
    <w:abstractNumId w:val="25"/>
  </w:num>
  <w:num w:numId="23" w16cid:durableId="1238326110">
    <w:abstractNumId w:val="18"/>
  </w:num>
  <w:num w:numId="24" w16cid:durableId="1902592602">
    <w:abstractNumId w:val="9"/>
  </w:num>
  <w:num w:numId="25" w16cid:durableId="1550723344">
    <w:abstractNumId w:val="23"/>
  </w:num>
  <w:num w:numId="26" w16cid:durableId="17656106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DB6"/>
    <w:rsid w:val="00147192"/>
    <w:rsid w:val="002B7A98"/>
    <w:rsid w:val="00447DB6"/>
    <w:rsid w:val="00BE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3A510"/>
  <w15:docId w15:val="{D1ADC594-CE08-6A4F-A111-DA1340DB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1175</Words>
  <Characters>1470</Characters>
  <Application>Microsoft Office Word</Application>
  <DocSecurity>0</DocSecurity>
  <Lines>56</Lines>
  <Paragraphs>85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frog lin</cp:lastModifiedBy>
  <cp:revision>2</cp:revision>
  <dcterms:created xsi:type="dcterms:W3CDTF">2026-01-04T08:02:00Z</dcterms:created>
  <dcterms:modified xsi:type="dcterms:W3CDTF">2026-01-04T08:02:00Z</dcterms:modified>
</cp:coreProperties>
</file>