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D020" w14:textId="72C6E3B8" w:rsidR="00C65D59" w:rsidRPr="005447F7" w:rsidRDefault="00000000">
      <w:pPr>
        <w:pStyle w:val="1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全方位科學展覽海報設計與製作實務</w:t>
      </w:r>
      <w:r w:rsidR="005447F7">
        <w:rPr>
          <w:rFonts w:eastAsia="標楷體" w:hint="eastAsia"/>
          <w:color w:val="1F1F1F"/>
        </w:rPr>
        <w:t xml:space="preserve">         </w:t>
      </w:r>
      <w:r w:rsidRPr="005447F7">
        <w:rPr>
          <w:rFonts w:eastAsia="標楷體"/>
          <w:color w:val="1F1F1F"/>
        </w:rPr>
        <w:t>從理論基礎到競賽策略的深度解析</w:t>
      </w:r>
    </w:p>
    <w:p w14:paraId="5D401624" w14:textId="77777777" w:rsidR="00C65D59" w:rsidRPr="005447F7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1. </w:t>
      </w:r>
      <w:r w:rsidRPr="005447F7">
        <w:rPr>
          <w:rFonts w:eastAsia="標楷體"/>
          <w:color w:val="1F1F1F"/>
        </w:rPr>
        <w:t>科學視覺傳達的戰略基礎</w:t>
      </w:r>
    </w:p>
    <w:p w14:paraId="7E9E5DF5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在科學研究的競技場上，發現新知僅是成功的一半，如何有效地傳播這些發現，往往決定了研究的影響力與競賽的勝負。無論是臺灣的全國中小學科學展覽會（</w:t>
      </w:r>
      <w:r w:rsidRPr="005447F7">
        <w:rPr>
          <w:rFonts w:eastAsia="標楷體"/>
          <w:color w:val="1F1F1F"/>
        </w:rPr>
        <w:t>National Primary and High School Science Fair</w:t>
      </w:r>
      <w:r w:rsidRPr="005447F7">
        <w:rPr>
          <w:rFonts w:eastAsia="標楷體"/>
          <w:color w:val="1F1F1F"/>
        </w:rPr>
        <w:t>）、臺灣國際科學展覽會（</w:t>
      </w:r>
      <w:r w:rsidRPr="005447F7">
        <w:rPr>
          <w:rFonts w:eastAsia="標楷體"/>
          <w:color w:val="1F1F1F"/>
        </w:rPr>
        <w:t>TISF</w:t>
      </w:r>
      <w:r w:rsidRPr="005447F7">
        <w:rPr>
          <w:rFonts w:eastAsia="標楷體"/>
          <w:color w:val="1F1F1F"/>
        </w:rPr>
        <w:t>），或是全球矚目的</w:t>
      </w:r>
      <w:r w:rsidRPr="005447F7">
        <w:rPr>
          <w:rFonts w:eastAsia="標楷體"/>
          <w:color w:val="1F1F1F"/>
        </w:rPr>
        <w:t xml:space="preserve"> Regeneron </w:t>
      </w:r>
      <w:r w:rsidRPr="005447F7">
        <w:rPr>
          <w:rFonts w:eastAsia="標楷體"/>
          <w:color w:val="1F1F1F"/>
        </w:rPr>
        <w:t>國際科技展覽會（</w:t>
      </w:r>
      <w:r w:rsidRPr="005447F7">
        <w:rPr>
          <w:rFonts w:eastAsia="標楷體"/>
          <w:color w:val="1F1F1F"/>
        </w:rPr>
        <w:t>ISEF</w:t>
      </w:r>
      <w:r w:rsidRPr="005447F7">
        <w:rPr>
          <w:rFonts w:eastAsia="標楷體"/>
          <w:color w:val="1F1F1F"/>
        </w:rPr>
        <w:t>），海報不僅是一張紙或一塊展板，它是研究者與評審之間進行高強度智力交鋒的媒介。這份報告將從學術傳播、認知心理學、視覺設計及實務操作等多個維度，深入探討如何打造一份具備獲獎潛力的科展海報。</w:t>
      </w:r>
    </w:p>
    <w:p w14:paraId="1C877C03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1.1 </w:t>
      </w:r>
      <w:r w:rsidRPr="005447F7">
        <w:rPr>
          <w:rFonts w:eastAsia="標楷體"/>
          <w:color w:val="1F1F1F"/>
        </w:rPr>
        <w:t>科展海報的功能性解構</w:t>
      </w:r>
    </w:p>
    <w:p w14:paraId="14AD4A3F" w14:textId="48A06194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許多初次參賽者常犯的錯誤，是將海報視為「大尺寸的論文」，試圖將所有的文字與數據塞入版面。然而，這種做法忽略了海報作為「視覺摘要（</w:t>
      </w:r>
      <w:r w:rsidRPr="005447F7">
        <w:rPr>
          <w:rFonts w:eastAsia="標楷體"/>
          <w:color w:val="1F1F1F"/>
        </w:rPr>
        <w:t>Visual Abstract</w:t>
      </w:r>
      <w:r w:rsidRPr="005447F7">
        <w:rPr>
          <w:rFonts w:eastAsia="標楷體"/>
          <w:color w:val="1F1F1F"/>
        </w:rPr>
        <w:t>）」與「溝通工具（</w:t>
      </w:r>
      <w:r w:rsidRPr="005447F7">
        <w:rPr>
          <w:rFonts w:eastAsia="標楷體"/>
          <w:color w:val="1F1F1F"/>
        </w:rPr>
        <w:t>Networking Tool</w:t>
      </w:r>
      <w:r w:rsidRPr="005447F7">
        <w:rPr>
          <w:rFonts w:eastAsia="標楷體"/>
          <w:color w:val="1F1F1F"/>
        </w:rPr>
        <w:t>）」的核心本質。海報的設計必須服務於以下四大功能：</w:t>
      </w:r>
    </w:p>
    <w:p w14:paraId="57060D7B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首先，</w:t>
      </w:r>
      <w:r w:rsidRPr="005447F7">
        <w:rPr>
          <w:rFonts w:eastAsia="標楷體"/>
          <w:b/>
          <w:bCs/>
          <w:color w:val="1F1F1F"/>
        </w:rPr>
        <w:t>論述的視覺化載體</w:t>
      </w:r>
      <w:r w:rsidRPr="005447F7">
        <w:rPr>
          <w:rFonts w:eastAsia="標楷體"/>
          <w:color w:val="1F1F1F"/>
        </w:rPr>
        <w:t>。海報必須將抽象的實驗邏輯、繁複的數據矩陣轉化為直觀的圖表與圖像，讓觀眾能夠在極短的時間內掌握研究的全貌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2</w:t>
      </w:r>
      <w:r w:rsidRPr="005447F7">
        <w:rPr>
          <w:rFonts w:eastAsia="標楷體"/>
          <w:color w:val="1F1F1F"/>
        </w:rPr>
        <w:t>。這要求設計者具備將文字資訊「轉譯」為視覺語言的能力。</w:t>
      </w:r>
    </w:p>
    <w:p w14:paraId="1E40032C" w14:textId="3E9330F6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其次，</w:t>
      </w:r>
      <w:r w:rsidRPr="005447F7">
        <w:rPr>
          <w:rFonts w:eastAsia="標楷體"/>
          <w:b/>
          <w:bCs/>
          <w:color w:val="1F1F1F"/>
        </w:rPr>
        <w:t>認知鷹架（</w:t>
      </w:r>
      <w:r w:rsidRPr="005447F7">
        <w:rPr>
          <w:rFonts w:eastAsia="標楷體"/>
          <w:b/>
          <w:bCs/>
          <w:color w:val="1F1F1F"/>
        </w:rPr>
        <w:t>Cognitive Scaffold</w:t>
      </w:r>
      <w:r w:rsidRPr="005447F7">
        <w:rPr>
          <w:rFonts w:eastAsia="標楷體"/>
          <w:b/>
          <w:bCs/>
          <w:color w:val="1F1F1F"/>
        </w:rPr>
        <w:t>）</w:t>
      </w:r>
      <w:r w:rsidRPr="005447F7">
        <w:rPr>
          <w:rFonts w:eastAsia="標楷體"/>
          <w:color w:val="1F1F1F"/>
        </w:rPr>
        <w:t>。在充滿噪音與干擾的展場環境中，評審的認知資源極為有限。海報必須透過清晰的架構與導引，降低觀眾的認知負荷（</w:t>
      </w:r>
      <w:r w:rsidRPr="005447F7">
        <w:rPr>
          <w:rFonts w:eastAsia="標楷體"/>
          <w:color w:val="1F1F1F"/>
        </w:rPr>
        <w:t>Cognitive Load</w:t>
      </w:r>
      <w:r w:rsidRPr="005447F7">
        <w:rPr>
          <w:rFonts w:eastAsia="標楷體"/>
          <w:color w:val="1F1F1F"/>
        </w:rPr>
        <w:t>），引導他們順暢地從研究動機移動至結論，完成一次邏輯推演。</w:t>
      </w:r>
    </w:p>
    <w:p w14:paraId="18C68082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第三，</w:t>
      </w:r>
      <w:r w:rsidRPr="005447F7">
        <w:rPr>
          <w:rFonts w:eastAsia="標楷體"/>
          <w:b/>
          <w:bCs/>
          <w:color w:val="1F1F1F"/>
        </w:rPr>
        <w:t>互動對話的起點</w:t>
      </w:r>
      <w:r w:rsidRPr="005447F7">
        <w:rPr>
          <w:rFonts w:eastAsia="標楷體"/>
          <w:color w:val="1F1F1F"/>
        </w:rPr>
        <w:t>。海報並非用來取代口頭報告，而是輔助口頭報告。它是演講者的視覺輔具，讓作者在解說時能夠具體指向特定的數據點或實驗照片，以佐證其論點，進而引發更深層次的討論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5447F7">
        <w:rPr>
          <w:rFonts w:eastAsia="標楷體"/>
          <w:color w:val="1F1F1F"/>
        </w:rPr>
        <w:t>。</w:t>
      </w:r>
    </w:p>
    <w:p w14:paraId="123CC6AF" w14:textId="763B515C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最後，</w:t>
      </w:r>
      <w:r w:rsidRPr="005447F7">
        <w:rPr>
          <w:rFonts w:eastAsia="標楷體"/>
          <w:b/>
          <w:bCs/>
          <w:color w:val="1F1F1F"/>
        </w:rPr>
        <w:t>行銷與說服的工具</w:t>
      </w:r>
      <w:r w:rsidRPr="005447F7">
        <w:rPr>
          <w:rFonts w:eastAsia="標楷體"/>
          <w:color w:val="1F1F1F"/>
        </w:rPr>
        <w:t>。科展本質上是一場關於創意的競賽。海報如同產品的包裝，必須在第一時間抓住評審的目光（</w:t>
      </w:r>
      <w:r w:rsidRPr="005447F7">
        <w:rPr>
          <w:rFonts w:eastAsia="標楷體"/>
          <w:color w:val="1F1F1F"/>
        </w:rPr>
        <w:t>The Hook</w:t>
      </w:r>
      <w:r w:rsidRPr="005447F7">
        <w:rPr>
          <w:rFonts w:eastAsia="標楷體"/>
          <w:color w:val="1F1F1F"/>
        </w:rPr>
        <w:t>），並透過嚴謹的內容留住他們的注意力（</w:t>
      </w:r>
      <w:r w:rsidRPr="005447F7">
        <w:rPr>
          <w:rFonts w:eastAsia="標楷體"/>
          <w:color w:val="1F1F1F"/>
        </w:rPr>
        <w:t>The Retention</w:t>
      </w:r>
      <w:r w:rsidRPr="005447F7">
        <w:rPr>
          <w:rFonts w:eastAsia="標楷體"/>
          <w:color w:val="1F1F1F"/>
        </w:rPr>
        <w:t>），最終說服他們認可研究的價值（</w:t>
      </w:r>
      <w:r w:rsidRPr="005447F7">
        <w:rPr>
          <w:rFonts w:eastAsia="標楷體"/>
          <w:color w:val="1F1F1F"/>
        </w:rPr>
        <w:t>The Conversion</w:t>
      </w:r>
      <w:r w:rsidRPr="005447F7">
        <w:rPr>
          <w:rFonts w:eastAsia="標楷體"/>
          <w:color w:val="1F1F1F"/>
        </w:rPr>
        <w:t>）。</w:t>
      </w:r>
    </w:p>
    <w:p w14:paraId="409ED7AE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1.2 5W1H </w:t>
      </w:r>
      <w:r w:rsidRPr="005447F7">
        <w:rPr>
          <w:rFonts w:eastAsia="標楷體"/>
          <w:color w:val="1F1F1F"/>
        </w:rPr>
        <w:t>分析法與主題定調</w:t>
      </w:r>
    </w:p>
    <w:p w14:paraId="28C4F937" w14:textId="73F29CB0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在著手設計之前，研究者必須對龐雜的研究內容進行提煉。</w:t>
      </w:r>
      <w:r w:rsidRPr="005447F7">
        <w:rPr>
          <w:rFonts w:eastAsia="標楷體"/>
          <w:color w:val="1F1F1F"/>
        </w:rPr>
        <w:t xml:space="preserve">5W1H </w:t>
      </w:r>
      <w:r w:rsidRPr="005447F7">
        <w:rPr>
          <w:rFonts w:eastAsia="標楷體"/>
          <w:color w:val="1F1F1F"/>
        </w:rPr>
        <w:t>分析法是一個經典但極為有效的工具，能協助學生從紛亂的實驗數據中釐清核心敘事線。</w:t>
      </w: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696"/>
        <w:gridCol w:w="3119"/>
        <w:gridCol w:w="4545"/>
      </w:tblGrid>
      <w:tr w:rsidR="00C65D59" w:rsidRPr="005447F7" w14:paraId="4F268940" w14:textId="77777777" w:rsidTr="005447F7">
        <w:tc>
          <w:tcPr>
            <w:tcW w:w="1696" w:type="dxa"/>
          </w:tcPr>
          <w:p w14:paraId="27998601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lastRenderedPageBreak/>
              <w:t>維度</w:t>
            </w:r>
          </w:p>
        </w:tc>
        <w:tc>
          <w:tcPr>
            <w:tcW w:w="3119" w:type="dxa"/>
          </w:tcPr>
          <w:p w14:paraId="47B691BB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t>引導問題</w:t>
            </w:r>
          </w:p>
        </w:tc>
        <w:tc>
          <w:tcPr>
            <w:tcW w:w="4545" w:type="dxa"/>
          </w:tcPr>
          <w:p w14:paraId="420183B5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t>海報設計應用策略</w:t>
            </w:r>
          </w:p>
        </w:tc>
      </w:tr>
      <w:tr w:rsidR="00C65D59" w:rsidRPr="005447F7" w14:paraId="586B10A1" w14:textId="77777777" w:rsidTr="005447F7">
        <w:tc>
          <w:tcPr>
            <w:tcW w:w="1696" w:type="dxa"/>
          </w:tcPr>
          <w:p w14:paraId="146C3591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t>What (</w:t>
            </w:r>
            <w:r w:rsidRPr="005447F7">
              <w:rPr>
                <w:rFonts w:eastAsia="標楷體"/>
                <w:b/>
                <w:bCs/>
                <w:color w:val="1F1F1F"/>
              </w:rPr>
              <w:t>何事</w:t>
            </w:r>
            <w:r w:rsidRPr="005447F7">
              <w:rPr>
                <w:rFonts w:eastAsia="標楷體"/>
                <w:b/>
                <w:bCs/>
                <w:color w:val="1F1F1F"/>
              </w:rPr>
              <w:t>)</w:t>
            </w:r>
          </w:p>
        </w:tc>
        <w:tc>
          <w:tcPr>
            <w:tcW w:w="3119" w:type="dxa"/>
          </w:tcPr>
          <w:p w14:paraId="164FC2EF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研究的核心現象或技術為何？</w:t>
            </w:r>
          </w:p>
        </w:tc>
        <w:tc>
          <w:tcPr>
            <w:tcW w:w="4545" w:type="dxa"/>
          </w:tcPr>
          <w:p w14:paraId="0CF61AB4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決定海報的「主視覺圖像」與「標題」。標題應精準且具吸引力。</w:t>
            </w:r>
          </w:p>
        </w:tc>
      </w:tr>
      <w:tr w:rsidR="00C65D59" w:rsidRPr="005447F7" w14:paraId="1893FBD5" w14:textId="77777777" w:rsidTr="005447F7">
        <w:tc>
          <w:tcPr>
            <w:tcW w:w="1696" w:type="dxa"/>
          </w:tcPr>
          <w:p w14:paraId="1E69D4E5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t>Why (</w:t>
            </w:r>
            <w:r w:rsidRPr="005447F7">
              <w:rPr>
                <w:rFonts w:eastAsia="標楷體"/>
                <w:b/>
                <w:bCs/>
                <w:color w:val="1F1F1F"/>
              </w:rPr>
              <w:t>何因</w:t>
            </w:r>
            <w:r w:rsidRPr="005447F7">
              <w:rPr>
                <w:rFonts w:eastAsia="標楷體"/>
                <w:b/>
                <w:bCs/>
                <w:color w:val="1F1F1F"/>
              </w:rPr>
              <w:t>)</w:t>
            </w:r>
          </w:p>
        </w:tc>
        <w:tc>
          <w:tcPr>
            <w:tcW w:w="3119" w:type="dxa"/>
          </w:tcPr>
          <w:p w14:paraId="5D1917F3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為何進行此研究？動機為何？</w:t>
            </w:r>
          </w:p>
        </w:tc>
        <w:tc>
          <w:tcPr>
            <w:tcW w:w="4545" w:type="dxa"/>
          </w:tcPr>
          <w:p w14:paraId="26B8BF6A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構成「研究動機」與「問題陳述」。需強調研究的必要性與缺口。</w:t>
            </w:r>
          </w:p>
        </w:tc>
      </w:tr>
      <w:tr w:rsidR="00C65D59" w:rsidRPr="005447F7" w14:paraId="73AFFED6" w14:textId="77777777" w:rsidTr="005447F7">
        <w:tc>
          <w:tcPr>
            <w:tcW w:w="1696" w:type="dxa"/>
          </w:tcPr>
          <w:p w14:paraId="0030E84F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t>Where (</w:t>
            </w:r>
            <w:r w:rsidRPr="005447F7">
              <w:rPr>
                <w:rFonts w:eastAsia="標楷體"/>
                <w:b/>
                <w:bCs/>
                <w:color w:val="1F1F1F"/>
              </w:rPr>
              <w:t>何地</w:t>
            </w:r>
            <w:r w:rsidRPr="005447F7">
              <w:rPr>
                <w:rFonts w:eastAsia="標楷體"/>
                <w:b/>
                <w:bCs/>
                <w:color w:val="1F1F1F"/>
              </w:rPr>
              <w:t>)</w:t>
            </w:r>
          </w:p>
        </w:tc>
        <w:tc>
          <w:tcPr>
            <w:tcW w:w="3119" w:type="dxa"/>
          </w:tcPr>
          <w:p w14:paraId="6F4CCE93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此知識應用於何處？</w:t>
            </w:r>
          </w:p>
        </w:tc>
        <w:tc>
          <w:tcPr>
            <w:tcW w:w="4545" w:type="dxa"/>
          </w:tcPr>
          <w:p w14:paraId="709DE03A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定位「應用價值」或「未來展望」。展示研究的場域或適用範圍。</w:t>
            </w:r>
          </w:p>
        </w:tc>
      </w:tr>
      <w:tr w:rsidR="00C65D59" w:rsidRPr="005447F7" w14:paraId="58C9582A" w14:textId="77777777" w:rsidTr="005447F7">
        <w:tc>
          <w:tcPr>
            <w:tcW w:w="1696" w:type="dxa"/>
          </w:tcPr>
          <w:p w14:paraId="41D05BFE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t>When (</w:t>
            </w:r>
            <w:r w:rsidRPr="005447F7">
              <w:rPr>
                <w:rFonts w:eastAsia="標楷體"/>
                <w:b/>
                <w:bCs/>
                <w:color w:val="1F1F1F"/>
              </w:rPr>
              <w:t>何時</w:t>
            </w:r>
            <w:r w:rsidRPr="005447F7">
              <w:rPr>
                <w:rFonts w:eastAsia="標楷體"/>
                <w:b/>
                <w:bCs/>
                <w:color w:val="1F1F1F"/>
              </w:rPr>
              <w:t>)</w:t>
            </w:r>
          </w:p>
        </w:tc>
        <w:tc>
          <w:tcPr>
            <w:tcW w:w="3119" w:type="dxa"/>
          </w:tcPr>
          <w:p w14:paraId="7165E9AD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此議題的時效性或歷史背景？</w:t>
            </w:r>
          </w:p>
        </w:tc>
        <w:tc>
          <w:tcPr>
            <w:tcW w:w="4545" w:type="dxa"/>
          </w:tcPr>
          <w:p w14:paraId="6DC279D8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建立「前言」中的急迫性或文獻回顧的演進脈絡。</w:t>
            </w:r>
          </w:p>
        </w:tc>
      </w:tr>
      <w:tr w:rsidR="00C65D59" w:rsidRPr="005447F7" w14:paraId="19DA9C77" w14:textId="77777777" w:rsidTr="005447F7">
        <w:tc>
          <w:tcPr>
            <w:tcW w:w="1696" w:type="dxa"/>
          </w:tcPr>
          <w:p w14:paraId="3F483779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t>Who (</w:t>
            </w:r>
            <w:r w:rsidRPr="005447F7">
              <w:rPr>
                <w:rFonts w:eastAsia="標楷體"/>
                <w:b/>
                <w:bCs/>
                <w:color w:val="1F1F1F"/>
              </w:rPr>
              <w:t>何人</w:t>
            </w:r>
            <w:r w:rsidRPr="005447F7">
              <w:rPr>
                <w:rFonts w:eastAsia="標楷體"/>
                <w:b/>
                <w:bCs/>
                <w:color w:val="1F1F1F"/>
              </w:rPr>
              <w:t>)</w:t>
            </w:r>
          </w:p>
        </w:tc>
        <w:tc>
          <w:tcPr>
            <w:tcW w:w="3119" w:type="dxa"/>
          </w:tcPr>
          <w:p w14:paraId="5084EC3B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誰受益？誰受影響？</w:t>
            </w:r>
          </w:p>
        </w:tc>
        <w:tc>
          <w:tcPr>
            <w:tcW w:w="4545" w:type="dxa"/>
          </w:tcPr>
          <w:p w14:paraId="16677405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賦予研究「社會意義」，連結至人類生活或特定族群，增強說服力。</w:t>
            </w:r>
          </w:p>
        </w:tc>
      </w:tr>
      <w:tr w:rsidR="00C65D59" w:rsidRPr="005447F7" w14:paraId="0EE30C64" w14:textId="77777777" w:rsidTr="005447F7">
        <w:tc>
          <w:tcPr>
            <w:tcW w:w="1696" w:type="dxa"/>
          </w:tcPr>
          <w:p w14:paraId="72B140FE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5447F7">
              <w:rPr>
                <w:rFonts w:eastAsia="標楷體"/>
                <w:b/>
                <w:bCs/>
                <w:color w:val="1F1F1F"/>
              </w:rPr>
              <w:t>How (</w:t>
            </w:r>
            <w:r w:rsidRPr="005447F7">
              <w:rPr>
                <w:rFonts w:eastAsia="標楷體"/>
                <w:b/>
                <w:bCs/>
                <w:color w:val="1F1F1F"/>
              </w:rPr>
              <w:t>如何</w:t>
            </w:r>
            <w:r w:rsidRPr="005447F7">
              <w:rPr>
                <w:rFonts w:eastAsia="標楷體"/>
                <w:b/>
                <w:bCs/>
                <w:color w:val="1F1F1F"/>
              </w:rPr>
              <w:t>)</w:t>
            </w:r>
          </w:p>
        </w:tc>
        <w:tc>
          <w:tcPr>
            <w:tcW w:w="3119" w:type="dxa"/>
          </w:tcPr>
          <w:p w14:paraId="15174038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機制為何？方法為何？</w:t>
            </w:r>
          </w:p>
        </w:tc>
        <w:tc>
          <w:tcPr>
            <w:tcW w:w="4545" w:type="dxa"/>
          </w:tcPr>
          <w:p w14:paraId="3807660F" w14:textId="77777777" w:rsidR="00C65D59" w:rsidRPr="005447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5447F7">
              <w:rPr>
                <w:rFonts w:eastAsia="標楷體"/>
                <w:color w:val="1F1F1F"/>
              </w:rPr>
              <w:t>驅動「研究方法」的流程圖設計與「結果」的邏輯推導。</w:t>
            </w:r>
          </w:p>
        </w:tc>
      </w:tr>
    </w:tbl>
    <w:p w14:paraId="375F21FC" w14:textId="5344F38E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透過嚴格執行</w:t>
      </w:r>
      <w:r w:rsidRPr="005447F7">
        <w:rPr>
          <w:rFonts w:eastAsia="標楷體"/>
          <w:color w:val="1F1F1F"/>
        </w:rPr>
        <w:t xml:space="preserve"> 5W1H </w:t>
      </w:r>
      <w:r w:rsidRPr="005447F7">
        <w:rPr>
          <w:rFonts w:eastAsia="標楷體"/>
          <w:color w:val="1F1F1F"/>
        </w:rPr>
        <w:t>分析，研究者可以篩選出最關鍵的資訊，避免資訊過載（</w:t>
      </w:r>
      <w:r w:rsidRPr="005447F7">
        <w:rPr>
          <w:rFonts w:eastAsia="標楷體"/>
          <w:color w:val="1F1F1F"/>
        </w:rPr>
        <w:t>Information Overload</w:t>
      </w:r>
      <w:r w:rsidRPr="005447F7">
        <w:rPr>
          <w:rFonts w:eastAsia="標楷體"/>
          <w:color w:val="1F1F1F"/>
        </w:rPr>
        <w:t>），這是科展海報設計中至關重要的一步。</w:t>
      </w:r>
    </w:p>
    <w:p w14:paraId="57A7893A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1.3 </w:t>
      </w:r>
      <w:r w:rsidRPr="005447F7">
        <w:rPr>
          <w:rFonts w:eastAsia="標楷體"/>
          <w:color w:val="1F1F1F"/>
        </w:rPr>
        <w:t>學術倫理與呈現原則</w:t>
      </w:r>
    </w:p>
    <w:p w14:paraId="51485740" w14:textId="65854624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在追求視覺效果的同時，學術倫理是不可逾越的底線。所有引用的圖片、數據或文獻，都必須清楚標示來源。根據</w:t>
      </w:r>
      <w:r w:rsidRPr="005447F7">
        <w:rPr>
          <w:rFonts w:eastAsia="標楷體"/>
          <w:color w:val="1F1F1F"/>
        </w:rPr>
        <w:t xml:space="preserve"> ISEF </w:t>
      </w:r>
      <w:r w:rsidRPr="005447F7">
        <w:rPr>
          <w:rFonts w:eastAsia="標楷體"/>
          <w:color w:val="1F1F1F"/>
        </w:rPr>
        <w:t>與臺灣科展的規定，任何非參賽者本人拍攝的照片都必須標註出處（例如：「圖片來源：</w:t>
      </w:r>
      <w:r w:rsidRPr="005447F7">
        <w:rPr>
          <w:rFonts w:eastAsia="標楷體"/>
          <w:color w:val="1F1F1F"/>
        </w:rPr>
        <w:t>...</w:t>
      </w:r>
      <w:r w:rsidRPr="005447F7">
        <w:rPr>
          <w:rFonts w:eastAsia="標楷體"/>
          <w:color w:val="1F1F1F"/>
        </w:rPr>
        <w:t>」或「</w:t>
      </w:r>
      <w:r w:rsidRPr="005447F7">
        <w:rPr>
          <w:rFonts w:eastAsia="標楷體"/>
          <w:color w:val="1F1F1F"/>
        </w:rPr>
        <w:t>Photo taken by...</w:t>
      </w:r>
      <w:r w:rsidRPr="005447F7">
        <w:rPr>
          <w:rFonts w:eastAsia="標楷體"/>
          <w:color w:val="1F1F1F"/>
        </w:rPr>
        <w:t>」），且不得展示具攻擊性或不雅的內容。誠實呈現數據，拒絕為了美觀而過度修飾或隱藏不利數據，是科學精神的基本展現。</w:t>
      </w:r>
    </w:p>
    <w:p w14:paraId="5F4822A4" w14:textId="77777777" w:rsidR="00C65D59" w:rsidRPr="005447F7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2. </w:t>
      </w:r>
      <w:r w:rsidRPr="005447F7">
        <w:rPr>
          <w:rFonts w:eastAsia="標楷體"/>
          <w:color w:val="1F1F1F"/>
        </w:rPr>
        <w:t>競賽規範與硬體規格解析</w:t>
      </w:r>
    </w:p>
    <w:p w14:paraId="6D65D919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不同層級與類型的科展，對於海報的尺寸、材質及展示方式有著截然不同的規定。忽視這些規範可能導致資格被取消，因此深入了解並遵守規則是製作海報的第一要務。</w:t>
      </w:r>
    </w:p>
    <w:p w14:paraId="77468705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2.1 </w:t>
      </w:r>
      <w:r w:rsidRPr="005447F7">
        <w:rPr>
          <w:rFonts w:eastAsia="標楷體"/>
          <w:color w:val="1F1F1F"/>
        </w:rPr>
        <w:t>中華民國中小學科學展覽會（全國科展）</w:t>
      </w:r>
    </w:p>
    <w:p w14:paraId="67B6BD14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臺灣的全國科展採用獨特的「三折式（</w:t>
      </w:r>
      <w:r w:rsidRPr="005447F7">
        <w:rPr>
          <w:rFonts w:eastAsia="標楷體"/>
          <w:color w:val="1F1F1F"/>
        </w:rPr>
        <w:t>Trifold</w:t>
      </w:r>
      <w:r w:rsidRPr="005447F7">
        <w:rPr>
          <w:rFonts w:eastAsia="標楷體"/>
          <w:color w:val="1F1F1F"/>
        </w:rPr>
        <w:t>）」或稱為「ㄇ字型」展板結構。這與國際會議常見的單張大海報截然不同，其特殊的物理結構直接影響了版面配置的邏輯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8</w:t>
      </w:r>
      <w:r w:rsidRPr="005447F7">
        <w:rPr>
          <w:rFonts w:eastAsia="標楷體"/>
          <w:color w:val="1F1F1F"/>
        </w:rPr>
        <w:t>。</w:t>
      </w:r>
    </w:p>
    <w:p w14:paraId="6880A89E" w14:textId="77777777" w:rsidR="00C65D59" w:rsidRPr="005447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展板結構數據：</w:t>
      </w:r>
    </w:p>
    <w:p w14:paraId="2AD19502" w14:textId="77777777" w:rsidR="00C65D59" w:rsidRPr="005447F7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lastRenderedPageBreak/>
        <w:t>中間展板（</w:t>
      </w:r>
      <w:r w:rsidRPr="005447F7">
        <w:rPr>
          <w:rFonts w:eastAsia="標楷體"/>
          <w:b/>
          <w:bCs/>
          <w:color w:val="1F1F1F"/>
        </w:rPr>
        <w:t>Center Panel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寬</w:t>
      </w:r>
      <w:r w:rsidRPr="005447F7">
        <w:rPr>
          <w:rFonts w:eastAsia="標楷體"/>
          <w:color w:val="1F1F1F"/>
        </w:rPr>
        <w:t xml:space="preserve"> 75 </w:t>
      </w:r>
      <w:r w:rsidRPr="005447F7">
        <w:rPr>
          <w:rFonts w:eastAsia="標楷體"/>
          <w:color w:val="1F1F1F"/>
        </w:rPr>
        <w:t>公分，高</w:t>
      </w:r>
      <w:r w:rsidRPr="005447F7">
        <w:rPr>
          <w:rFonts w:eastAsia="標楷體"/>
          <w:color w:val="1F1F1F"/>
        </w:rPr>
        <w:t xml:space="preserve"> 120 </w:t>
      </w:r>
      <w:r w:rsidRPr="005447F7">
        <w:rPr>
          <w:rFonts w:eastAsia="標楷體"/>
          <w:color w:val="1F1F1F"/>
        </w:rPr>
        <w:t>公分。這是視覺的黃金區域，應放置最重要的核心內容。</w:t>
      </w:r>
    </w:p>
    <w:p w14:paraId="454E3EE0" w14:textId="77777777" w:rsidR="00C65D59" w:rsidRPr="005447F7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左右展板（</w:t>
      </w:r>
      <w:r w:rsidRPr="005447F7">
        <w:rPr>
          <w:rFonts w:eastAsia="標楷體"/>
          <w:b/>
          <w:bCs/>
          <w:color w:val="1F1F1F"/>
        </w:rPr>
        <w:t>Side Panels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寬</w:t>
      </w:r>
      <w:r w:rsidRPr="005447F7">
        <w:rPr>
          <w:rFonts w:eastAsia="標楷體"/>
          <w:color w:val="1F1F1F"/>
        </w:rPr>
        <w:t xml:space="preserve"> 65 </w:t>
      </w:r>
      <w:r w:rsidRPr="005447F7">
        <w:rPr>
          <w:rFonts w:eastAsia="標楷體"/>
          <w:color w:val="1F1F1F"/>
        </w:rPr>
        <w:t>公分，高</w:t>
      </w:r>
      <w:r w:rsidRPr="005447F7">
        <w:rPr>
          <w:rFonts w:eastAsia="標楷體"/>
          <w:color w:val="1F1F1F"/>
        </w:rPr>
        <w:t xml:space="preserve"> 120 </w:t>
      </w:r>
      <w:r w:rsidRPr="005447F7">
        <w:rPr>
          <w:rFonts w:eastAsia="標楷體"/>
          <w:color w:val="1F1F1F"/>
        </w:rPr>
        <w:t>公分。通常向內折疊，形成包覆感。</w:t>
      </w:r>
    </w:p>
    <w:p w14:paraId="65CEE659" w14:textId="77777777" w:rsidR="00C65D59" w:rsidRPr="005447F7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上方標題板（</w:t>
      </w:r>
      <w:r w:rsidRPr="005447F7">
        <w:rPr>
          <w:rFonts w:eastAsia="標楷體"/>
          <w:b/>
          <w:bCs/>
          <w:color w:val="1F1F1F"/>
        </w:rPr>
        <w:t>Header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寬</w:t>
      </w:r>
      <w:r w:rsidRPr="005447F7">
        <w:rPr>
          <w:rFonts w:eastAsia="標楷體"/>
          <w:color w:val="1F1F1F"/>
        </w:rPr>
        <w:t xml:space="preserve"> 75 </w:t>
      </w:r>
      <w:r w:rsidRPr="005447F7">
        <w:rPr>
          <w:rFonts w:eastAsia="標楷體"/>
          <w:color w:val="1F1F1F"/>
        </w:rPr>
        <w:t>公分，高</w:t>
      </w:r>
      <w:r w:rsidRPr="005447F7">
        <w:rPr>
          <w:rFonts w:eastAsia="標楷體"/>
          <w:color w:val="1F1F1F"/>
        </w:rPr>
        <w:t xml:space="preserve"> 20 </w:t>
      </w:r>
      <w:r w:rsidRPr="005447F7">
        <w:rPr>
          <w:rFonts w:eastAsia="標楷體"/>
          <w:color w:val="1F1F1F"/>
        </w:rPr>
        <w:t>公分。專門用於展示作品名稱。</w:t>
      </w:r>
    </w:p>
    <w:p w14:paraId="4D67CF67" w14:textId="77777777" w:rsidR="00C65D59" w:rsidRPr="005447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總體積限制：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展品放置在桌面上時，深度通常限制在</w:t>
      </w:r>
      <w:r w:rsidRPr="005447F7">
        <w:rPr>
          <w:rFonts w:eastAsia="標楷體"/>
          <w:color w:val="1F1F1F"/>
        </w:rPr>
        <w:t xml:space="preserve"> 60-70 </w:t>
      </w:r>
      <w:r w:rsidRPr="005447F7">
        <w:rPr>
          <w:rFonts w:eastAsia="標楷體"/>
          <w:color w:val="1F1F1F"/>
        </w:rPr>
        <w:t>公分，高度限制等需參照當年度實施計畫。</w:t>
      </w:r>
    </w:p>
    <w:p w14:paraId="228C91EA" w14:textId="77777777" w:rsidR="00C65D59" w:rsidRPr="005447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材質應用：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參賽者通常需將內容輸出為多張</w:t>
      </w:r>
      <w:r w:rsidRPr="005447F7">
        <w:rPr>
          <w:rFonts w:eastAsia="標楷體"/>
          <w:color w:val="1F1F1F"/>
        </w:rPr>
        <w:t xml:space="preserve"> A4 </w:t>
      </w:r>
      <w:r w:rsidRPr="005447F7">
        <w:rPr>
          <w:rFonts w:eastAsia="標楷體"/>
          <w:color w:val="1F1F1F"/>
        </w:rPr>
        <w:t>或</w:t>
      </w:r>
      <w:r w:rsidRPr="005447F7">
        <w:rPr>
          <w:rFonts w:eastAsia="標楷體"/>
          <w:color w:val="1F1F1F"/>
        </w:rPr>
        <w:t xml:space="preserve"> A3 </w:t>
      </w:r>
      <w:r w:rsidRPr="005447F7">
        <w:rPr>
          <w:rFonts w:eastAsia="標楷體"/>
          <w:color w:val="1F1F1F"/>
        </w:rPr>
        <w:t>紙張，或裁切好的大圖，再黏貼於大會提供的瓦楞板或保麗龍板上。近年來，許多參賽者選擇直接輸出符合各區塊尺寸的背膠海報進行黏貼，以求整體美觀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9</w:t>
      </w:r>
      <w:r w:rsidRPr="005447F7">
        <w:rPr>
          <w:rFonts w:eastAsia="標楷體"/>
          <w:color w:val="1F1F1F"/>
        </w:rPr>
        <w:t>。</w:t>
      </w:r>
    </w:p>
    <w:p w14:paraId="05C67C47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b/>
          <w:bCs/>
          <w:color w:val="1F1F1F"/>
        </w:rPr>
        <w:t>佈局策略：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由於展板被物理分割為左、中、右三塊，閱讀順序必然是由左至右，由上而下。</w:t>
      </w:r>
    </w:p>
    <w:p w14:paraId="2A9A6119" w14:textId="77777777" w:rsidR="00C65D59" w:rsidRPr="005447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左側展板：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承載研究的「起點」，包括摘要（</w:t>
      </w:r>
      <w:r w:rsidRPr="005447F7">
        <w:rPr>
          <w:rFonts w:eastAsia="標楷體"/>
          <w:color w:val="1F1F1F"/>
        </w:rPr>
        <w:t>Abstract</w:t>
      </w:r>
      <w:r w:rsidRPr="005447F7">
        <w:rPr>
          <w:rFonts w:eastAsia="標楷體"/>
          <w:color w:val="1F1F1F"/>
        </w:rPr>
        <w:t>）、研究動機（</w:t>
      </w:r>
      <w:r w:rsidRPr="005447F7">
        <w:rPr>
          <w:rFonts w:eastAsia="標楷體"/>
          <w:color w:val="1F1F1F"/>
        </w:rPr>
        <w:t>Motivation</w:t>
      </w:r>
      <w:r w:rsidRPr="005447F7">
        <w:rPr>
          <w:rFonts w:eastAsia="標楷體"/>
          <w:color w:val="1F1F1F"/>
        </w:rPr>
        <w:t>）、文獻探討（</w:t>
      </w:r>
      <w:r w:rsidRPr="005447F7">
        <w:rPr>
          <w:rFonts w:eastAsia="標楷體"/>
          <w:color w:val="1F1F1F"/>
        </w:rPr>
        <w:t>Literature Review</w:t>
      </w:r>
      <w:r w:rsidRPr="005447F7">
        <w:rPr>
          <w:rFonts w:eastAsia="標楷體"/>
          <w:color w:val="1F1F1F"/>
        </w:rPr>
        <w:t>）、研究設備與器材。</w:t>
      </w:r>
    </w:p>
    <w:p w14:paraId="7F8BC37C" w14:textId="77777777" w:rsidR="00C65D59" w:rsidRPr="005447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中間展板：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承載研究的「核心」，包括研究過程或方法（</w:t>
      </w:r>
      <w:r w:rsidRPr="005447F7">
        <w:rPr>
          <w:rFonts w:eastAsia="標楷體"/>
          <w:color w:val="1F1F1F"/>
        </w:rPr>
        <w:t>Methodology</w:t>
      </w:r>
      <w:r w:rsidRPr="005447F7">
        <w:rPr>
          <w:rFonts w:eastAsia="標楷體"/>
          <w:color w:val="1F1F1F"/>
        </w:rPr>
        <w:t>）、主要研究結果（</w:t>
      </w:r>
      <w:r w:rsidRPr="005447F7">
        <w:rPr>
          <w:rFonts w:eastAsia="標楷體"/>
          <w:color w:val="1F1F1F"/>
        </w:rPr>
        <w:t>Results</w:t>
      </w:r>
      <w:r w:rsidRPr="005447F7">
        <w:rPr>
          <w:rFonts w:eastAsia="標楷體"/>
          <w:color w:val="1F1F1F"/>
        </w:rPr>
        <w:t>）、圖表數據分析。這是評審目光停留最久的地方。</w:t>
      </w:r>
    </w:p>
    <w:p w14:paraId="2FD77039" w14:textId="7FF9841E" w:rsidR="00C65D59" w:rsidRPr="005447F7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右側展板：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承載研究的「終點」，包括討論（</w:t>
      </w:r>
      <w:r w:rsidRPr="005447F7">
        <w:rPr>
          <w:rFonts w:eastAsia="標楷體"/>
          <w:color w:val="1F1F1F"/>
        </w:rPr>
        <w:t>Discussion</w:t>
      </w:r>
      <w:r w:rsidRPr="005447F7">
        <w:rPr>
          <w:rFonts w:eastAsia="標楷體"/>
          <w:color w:val="1F1F1F"/>
        </w:rPr>
        <w:t>）、結論（</w:t>
      </w:r>
      <w:r w:rsidRPr="005447F7">
        <w:rPr>
          <w:rFonts w:eastAsia="標楷體"/>
          <w:color w:val="1F1F1F"/>
        </w:rPr>
        <w:t>Conclusion</w:t>
      </w:r>
      <w:r w:rsidRPr="005447F7">
        <w:rPr>
          <w:rFonts w:eastAsia="標楷體"/>
          <w:color w:val="1F1F1F"/>
        </w:rPr>
        <w:t>）、參考文獻（</w:t>
      </w:r>
      <w:r w:rsidRPr="005447F7">
        <w:rPr>
          <w:rFonts w:eastAsia="標楷體"/>
          <w:color w:val="1F1F1F"/>
        </w:rPr>
        <w:t>References</w:t>
      </w:r>
      <w:r w:rsidRPr="005447F7">
        <w:rPr>
          <w:rFonts w:eastAsia="標楷體"/>
          <w:color w:val="1F1F1F"/>
        </w:rPr>
        <w:t>）及未來展望。</w:t>
      </w:r>
    </w:p>
    <w:p w14:paraId="76F8FE11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2.2 </w:t>
      </w:r>
      <w:r w:rsidRPr="005447F7">
        <w:rPr>
          <w:rFonts w:eastAsia="標楷體"/>
          <w:color w:val="1F1F1F"/>
        </w:rPr>
        <w:t>臺灣國際科學展覽會（</w:t>
      </w:r>
      <w:r w:rsidRPr="005447F7">
        <w:rPr>
          <w:rFonts w:eastAsia="標楷體"/>
          <w:color w:val="1F1F1F"/>
        </w:rPr>
        <w:t>TISF</w:t>
      </w:r>
      <w:r w:rsidRPr="005447F7">
        <w:rPr>
          <w:rFonts w:eastAsia="標楷體"/>
          <w:color w:val="1F1F1F"/>
        </w:rPr>
        <w:t>）與</w:t>
      </w:r>
      <w:r w:rsidRPr="005447F7">
        <w:rPr>
          <w:rFonts w:eastAsia="標楷體"/>
          <w:color w:val="1F1F1F"/>
        </w:rPr>
        <w:t xml:space="preserve"> ISEF</w:t>
      </w:r>
    </w:p>
    <w:p w14:paraId="4937B754" w14:textId="36FE7A0E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進入國際賽事層級（如</w:t>
      </w:r>
      <w:r w:rsidRPr="005447F7">
        <w:rPr>
          <w:rFonts w:eastAsia="標楷體"/>
          <w:color w:val="1F1F1F"/>
        </w:rPr>
        <w:t xml:space="preserve"> TISF </w:t>
      </w:r>
      <w:r w:rsidRPr="005447F7">
        <w:rPr>
          <w:rFonts w:eastAsia="標楷體"/>
          <w:color w:val="1F1F1F"/>
        </w:rPr>
        <w:t>選拔或代表臺灣參加</w:t>
      </w:r>
      <w:r w:rsidRPr="005447F7">
        <w:rPr>
          <w:rFonts w:eastAsia="標楷體"/>
          <w:color w:val="1F1F1F"/>
        </w:rPr>
        <w:t xml:space="preserve"> ISEF</w:t>
      </w:r>
      <w:r w:rsidRPr="005447F7">
        <w:rPr>
          <w:rFonts w:eastAsia="標楷體"/>
          <w:color w:val="1F1F1F"/>
        </w:rPr>
        <w:t>），海報的形式與規範則向國際標準靠攏。</w:t>
      </w:r>
      <w:r w:rsidRPr="005447F7">
        <w:rPr>
          <w:rFonts w:eastAsia="標楷體"/>
          <w:color w:val="1F1F1F"/>
        </w:rPr>
        <w:t xml:space="preserve">ISEF </w:t>
      </w:r>
      <w:r w:rsidRPr="005447F7">
        <w:rPr>
          <w:rFonts w:eastAsia="標楷體"/>
          <w:color w:val="1F1F1F"/>
        </w:rPr>
        <w:t>的規範給予了較大的空間彈性，但也伴隨著更嚴格的安全審查。</w:t>
      </w:r>
    </w:p>
    <w:p w14:paraId="7980F398" w14:textId="77777777" w:rsidR="00C65D59" w:rsidRPr="005447F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最大尺寸限制（</w:t>
      </w:r>
      <w:r w:rsidRPr="005447F7">
        <w:rPr>
          <w:rFonts w:eastAsia="標楷體"/>
          <w:b/>
          <w:bCs/>
          <w:color w:val="1F1F1F"/>
        </w:rPr>
        <w:t xml:space="preserve">ISEF </w:t>
      </w:r>
      <w:r w:rsidRPr="005447F7">
        <w:rPr>
          <w:rFonts w:eastAsia="標楷體"/>
          <w:b/>
          <w:bCs/>
          <w:color w:val="1F1F1F"/>
        </w:rPr>
        <w:t>標準）：</w:t>
      </w:r>
    </w:p>
    <w:p w14:paraId="630E0581" w14:textId="77777777" w:rsidR="00C65D59" w:rsidRPr="005447F7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>深度（</w:t>
      </w:r>
      <w:r w:rsidRPr="005447F7">
        <w:rPr>
          <w:rFonts w:eastAsia="標楷體"/>
          <w:color w:val="1F1F1F"/>
        </w:rPr>
        <w:t>Front to Back</w:t>
      </w:r>
      <w:r w:rsidRPr="005447F7">
        <w:rPr>
          <w:rFonts w:eastAsia="標楷體"/>
          <w:color w:val="1F1F1F"/>
        </w:rPr>
        <w:t>）：</w:t>
      </w:r>
      <w:r w:rsidRPr="005447F7">
        <w:rPr>
          <w:rFonts w:eastAsia="標楷體"/>
          <w:color w:val="1F1F1F"/>
        </w:rPr>
        <w:t xml:space="preserve">76 </w:t>
      </w:r>
      <w:r w:rsidRPr="005447F7">
        <w:rPr>
          <w:rFonts w:eastAsia="標楷體"/>
          <w:color w:val="1F1F1F"/>
        </w:rPr>
        <w:t>公分（</w:t>
      </w:r>
      <w:r w:rsidRPr="005447F7">
        <w:rPr>
          <w:rFonts w:eastAsia="標楷體"/>
          <w:color w:val="1F1F1F"/>
        </w:rPr>
        <w:t xml:space="preserve">30 </w:t>
      </w:r>
      <w:r w:rsidRPr="005447F7">
        <w:rPr>
          <w:rFonts w:eastAsia="標楷體"/>
          <w:color w:val="1F1F1F"/>
        </w:rPr>
        <w:t>英吋）。</w:t>
      </w:r>
    </w:p>
    <w:p w14:paraId="2BF6064C" w14:textId="77777777" w:rsidR="00C65D59" w:rsidRPr="005447F7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>寬度（</w:t>
      </w:r>
      <w:r w:rsidRPr="005447F7">
        <w:rPr>
          <w:rFonts w:eastAsia="標楷體"/>
          <w:color w:val="1F1F1F"/>
        </w:rPr>
        <w:t>Side to Side</w:t>
      </w:r>
      <w:r w:rsidRPr="005447F7">
        <w:rPr>
          <w:rFonts w:eastAsia="標楷體"/>
          <w:color w:val="1F1F1F"/>
        </w:rPr>
        <w:t>）：</w:t>
      </w:r>
      <w:r w:rsidRPr="005447F7">
        <w:rPr>
          <w:rFonts w:eastAsia="標楷體"/>
          <w:color w:val="1F1F1F"/>
        </w:rPr>
        <w:t xml:space="preserve">122 </w:t>
      </w:r>
      <w:r w:rsidRPr="005447F7">
        <w:rPr>
          <w:rFonts w:eastAsia="標楷體"/>
          <w:color w:val="1F1F1F"/>
        </w:rPr>
        <w:t>公分（</w:t>
      </w:r>
      <w:r w:rsidRPr="005447F7">
        <w:rPr>
          <w:rFonts w:eastAsia="標楷體"/>
          <w:color w:val="1F1F1F"/>
        </w:rPr>
        <w:t xml:space="preserve">48 </w:t>
      </w:r>
      <w:r w:rsidRPr="005447F7">
        <w:rPr>
          <w:rFonts w:eastAsia="標楷體"/>
          <w:color w:val="1F1F1F"/>
        </w:rPr>
        <w:t>英吋）。</w:t>
      </w:r>
    </w:p>
    <w:p w14:paraId="185C62AF" w14:textId="77777777" w:rsidR="00C65D59" w:rsidRPr="005447F7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>高度（</w:t>
      </w:r>
      <w:r w:rsidRPr="005447F7">
        <w:rPr>
          <w:rFonts w:eastAsia="標楷體"/>
          <w:color w:val="1F1F1F"/>
        </w:rPr>
        <w:t>Floor to Top</w:t>
      </w:r>
      <w:r w:rsidRPr="005447F7">
        <w:rPr>
          <w:rFonts w:eastAsia="標楷體"/>
          <w:color w:val="1F1F1F"/>
        </w:rPr>
        <w:t>）：</w:t>
      </w:r>
      <w:r w:rsidRPr="005447F7">
        <w:rPr>
          <w:rFonts w:eastAsia="標楷體"/>
          <w:color w:val="1F1F1F"/>
        </w:rPr>
        <w:t xml:space="preserve">274 </w:t>
      </w:r>
      <w:r w:rsidRPr="005447F7">
        <w:rPr>
          <w:rFonts w:eastAsia="標楷體"/>
          <w:color w:val="1F1F1F"/>
        </w:rPr>
        <w:t>公分（</w:t>
      </w:r>
      <w:r w:rsidRPr="005447F7">
        <w:rPr>
          <w:rFonts w:eastAsia="標楷體"/>
          <w:color w:val="1F1F1F"/>
        </w:rPr>
        <w:t xml:space="preserve">108 </w:t>
      </w:r>
      <w:r w:rsidRPr="005447F7">
        <w:rPr>
          <w:rFonts w:eastAsia="標楷體"/>
          <w:color w:val="1F1F1F"/>
        </w:rPr>
        <w:t>英吋），包含桌子高度（通常桌高約</w:t>
      </w:r>
      <w:r w:rsidRPr="005447F7">
        <w:rPr>
          <w:rFonts w:eastAsia="標楷體"/>
          <w:color w:val="1F1F1F"/>
        </w:rPr>
        <w:t xml:space="preserve"> 76 </w:t>
      </w:r>
      <w:r w:rsidRPr="005447F7">
        <w:rPr>
          <w:rFonts w:eastAsia="標楷體"/>
          <w:color w:val="1F1F1F"/>
        </w:rPr>
        <w:t>公分）。</w:t>
      </w:r>
    </w:p>
    <w:p w14:paraId="7191C030" w14:textId="6DAA4718" w:rsidR="005447F7" w:rsidRPr="005447F7" w:rsidRDefault="005447F7" w:rsidP="005447F7">
      <w:pPr>
        <w:pStyle w:val="a7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/>
        <w:rPr>
          <w:rFonts w:eastAsia="標楷體"/>
        </w:rPr>
      </w:pPr>
      <w:r>
        <w:rPr>
          <w:rFonts w:eastAsia="標楷體"/>
        </w:rPr>
        <w:t>2026</w:t>
      </w:r>
      <w:r>
        <w:rPr>
          <w:rFonts w:eastAsia="標楷體" w:hint="eastAsia"/>
        </w:rPr>
        <w:t>年最新規格：</w:t>
      </w:r>
      <w:r w:rsidRPr="005447F7">
        <w:rPr>
          <w:rFonts w:eastAsia="標楷體" w:hint="eastAsia"/>
        </w:rPr>
        <w:t>這份</w:t>
      </w:r>
      <w:r w:rsidRPr="005447F7">
        <w:rPr>
          <w:rFonts w:eastAsia="標楷體" w:hint="eastAsia"/>
        </w:rPr>
        <w:t xml:space="preserve"> 2026 </w:t>
      </w:r>
      <w:r w:rsidRPr="005447F7">
        <w:rPr>
          <w:rFonts w:eastAsia="標楷體" w:hint="eastAsia"/>
        </w:rPr>
        <w:t>年台灣國際科展的展示板採用三折式設計，總高度均為</w:t>
      </w:r>
      <w:r w:rsidRPr="005447F7">
        <w:rPr>
          <w:rFonts w:eastAsia="標楷體" w:hint="eastAsia"/>
        </w:rPr>
        <w:t xml:space="preserve"> 122 </w:t>
      </w:r>
      <w:r w:rsidRPr="005447F7">
        <w:rPr>
          <w:rFonts w:eastAsia="標楷體" w:hint="eastAsia"/>
        </w:rPr>
        <w:t>公分（</w:t>
      </w:r>
      <w:r w:rsidRPr="005447F7">
        <w:rPr>
          <w:rFonts w:eastAsia="標楷體" w:hint="eastAsia"/>
        </w:rPr>
        <w:t xml:space="preserve">48 </w:t>
      </w:r>
      <w:r w:rsidRPr="005447F7">
        <w:rPr>
          <w:rFonts w:eastAsia="標楷體" w:hint="eastAsia"/>
        </w:rPr>
        <w:t>吋），由三片面板組成：</w:t>
      </w:r>
    </w:p>
    <w:p w14:paraId="1F132E8E" w14:textId="1A6261B2" w:rsidR="005447F7" w:rsidRPr="005447F7" w:rsidRDefault="005447F7" w:rsidP="005447F7">
      <w:pPr>
        <w:pStyle w:val="a7"/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 w:left="465"/>
        <w:rPr>
          <w:rFonts w:eastAsia="標楷體"/>
        </w:rPr>
      </w:pPr>
      <w:r w:rsidRPr="005447F7">
        <w:rPr>
          <w:rFonts w:eastAsia="標楷體" w:hint="eastAsia"/>
        </w:rPr>
        <w:t>中央面板</w:t>
      </w:r>
      <w:r w:rsidRPr="005447F7">
        <w:rPr>
          <w:rFonts w:eastAsia="標楷體" w:hint="eastAsia"/>
        </w:rPr>
        <w:t>**</w:t>
      </w:r>
      <w:r w:rsidRPr="005447F7">
        <w:rPr>
          <w:rFonts w:eastAsia="標楷體" w:hint="eastAsia"/>
        </w:rPr>
        <w:t>的寬度為</w:t>
      </w:r>
      <w:r w:rsidRPr="005447F7">
        <w:rPr>
          <w:rFonts w:eastAsia="標楷體" w:hint="eastAsia"/>
        </w:rPr>
        <w:t xml:space="preserve"> 61 </w:t>
      </w:r>
      <w:r w:rsidRPr="005447F7">
        <w:rPr>
          <w:rFonts w:eastAsia="標楷體" w:hint="eastAsia"/>
        </w:rPr>
        <w:t>公分（</w:t>
      </w:r>
      <w:r w:rsidRPr="005447F7">
        <w:rPr>
          <w:rFonts w:eastAsia="標楷體" w:hint="eastAsia"/>
        </w:rPr>
        <w:t xml:space="preserve">24 </w:t>
      </w:r>
      <w:r w:rsidRPr="005447F7">
        <w:rPr>
          <w:rFonts w:eastAsia="標楷體" w:hint="eastAsia"/>
        </w:rPr>
        <w:t>吋）。左右兩側的側翼面板</w:t>
      </w:r>
      <w:r w:rsidRPr="005447F7">
        <w:rPr>
          <w:rFonts w:eastAsia="標楷體" w:hint="eastAsia"/>
        </w:rPr>
        <w:t>**</w:t>
      </w:r>
      <w:r w:rsidRPr="005447F7">
        <w:rPr>
          <w:rFonts w:eastAsia="標楷體" w:hint="eastAsia"/>
        </w:rPr>
        <w:t>寬度各為</w:t>
      </w:r>
      <w:r w:rsidRPr="005447F7">
        <w:rPr>
          <w:rFonts w:eastAsia="標楷體" w:hint="eastAsia"/>
        </w:rPr>
        <w:t xml:space="preserve">30.5 </w:t>
      </w:r>
      <w:r w:rsidRPr="005447F7">
        <w:rPr>
          <w:rFonts w:eastAsia="標楷體" w:hint="eastAsia"/>
        </w:rPr>
        <w:t>公分（</w:t>
      </w:r>
      <w:r w:rsidRPr="005447F7">
        <w:rPr>
          <w:rFonts w:eastAsia="標楷體" w:hint="eastAsia"/>
        </w:rPr>
        <w:t xml:space="preserve">12 </w:t>
      </w:r>
      <w:r w:rsidRPr="005447F7">
        <w:rPr>
          <w:rFonts w:eastAsia="標楷體" w:hint="eastAsia"/>
        </w:rPr>
        <w:t>吋），分別連接在中央面板的兩旁，展開後總寬度合計為</w:t>
      </w:r>
      <w:r w:rsidRPr="005447F7">
        <w:rPr>
          <w:rFonts w:eastAsia="標楷體" w:hint="eastAsia"/>
        </w:rPr>
        <w:t xml:space="preserve"> 122 </w:t>
      </w:r>
      <w:r w:rsidRPr="005447F7">
        <w:rPr>
          <w:rFonts w:eastAsia="標楷體" w:hint="eastAsia"/>
        </w:rPr>
        <w:t>公分。此外，在展示板的最上方需加裝一片獨立的標題板。標題板的寬度為</w:t>
      </w:r>
      <w:r w:rsidRPr="005447F7">
        <w:rPr>
          <w:rFonts w:eastAsia="標楷體" w:hint="eastAsia"/>
        </w:rPr>
        <w:t xml:space="preserve"> 91.5 </w:t>
      </w:r>
      <w:r w:rsidRPr="005447F7">
        <w:rPr>
          <w:rFonts w:eastAsia="標楷體" w:hint="eastAsia"/>
        </w:rPr>
        <w:t>公分（</w:t>
      </w:r>
      <w:r w:rsidRPr="005447F7">
        <w:rPr>
          <w:rFonts w:eastAsia="標楷體" w:hint="eastAsia"/>
        </w:rPr>
        <w:t xml:space="preserve">36 </w:t>
      </w:r>
      <w:r w:rsidRPr="005447F7">
        <w:rPr>
          <w:rFonts w:eastAsia="標楷體" w:hint="eastAsia"/>
        </w:rPr>
        <w:t>吋），高度為</w:t>
      </w:r>
      <w:r w:rsidRPr="005447F7">
        <w:rPr>
          <w:rFonts w:eastAsia="標楷體" w:hint="eastAsia"/>
        </w:rPr>
        <w:t xml:space="preserve"> 24 </w:t>
      </w:r>
      <w:r w:rsidRPr="005447F7">
        <w:rPr>
          <w:rFonts w:eastAsia="標楷體" w:hint="eastAsia"/>
        </w:rPr>
        <w:t>公分（</w:t>
      </w:r>
      <w:r w:rsidRPr="005447F7">
        <w:rPr>
          <w:rFonts w:eastAsia="標楷體" w:hint="eastAsia"/>
        </w:rPr>
        <w:t xml:space="preserve">9.5 </w:t>
      </w:r>
      <w:r w:rsidRPr="005447F7">
        <w:rPr>
          <w:rFonts w:eastAsia="標楷體" w:hint="eastAsia"/>
        </w:rPr>
        <w:t>吋）。這塊標題板的下方設有兩處長度</w:t>
      </w:r>
      <w:r w:rsidRPr="005447F7">
        <w:rPr>
          <w:rFonts w:eastAsia="標楷體" w:hint="eastAsia"/>
        </w:rPr>
        <w:t xml:space="preserve"> 5.5 </w:t>
      </w:r>
      <w:r w:rsidRPr="005447F7">
        <w:rPr>
          <w:rFonts w:eastAsia="標楷體" w:hint="eastAsia"/>
        </w:rPr>
        <w:t>公分</w:t>
      </w:r>
      <w:r w:rsidRPr="005447F7">
        <w:rPr>
          <w:rFonts w:eastAsia="標楷體" w:hint="eastAsia"/>
        </w:rPr>
        <w:t xml:space="preserve"> </w:t>
      </w:r>
      <w:r w:rsidRPr="005447F7">
        <w:rPr>
          <w:rFonts w:eastAsia="標楷體" w:hint="eastAsia"/>
        </w:rPr>
        <w:t>的插孔，位置分別距離標題板的左右兩端</w:t>
      </w:r>
      <w:r w:rsidRPr="005447F7">
        <w:rPr>
          <w:rFonts w:eastAsia="標楷體" w:hint="eastAsia"/>
        </w:rPr>
        <w:t xml:space="preserve"> 9.5 </w:t>
      </w:r>
      <w:r w:rsidRPr="005447F7">
        <w:rPr>
          <w:rFonts w:eastAsia="標楷體" w:hint="eastAsia"/>
        </w:rPr>
        <w:t>公分，以便固定在主體展板上。</w:t>
      </w:r>
    </w:p>
    <w:p w14:paraId="2B429B95" w14:textId="77777777" w:rsidR="00C65D59" w:rsidRPr="005447F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展示形式：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雖然仍可使用三折板，但國際賽事中常見的形式是單張大尺寸海報（</w:t>
      </w:r>
      <w:r w:rsidRPr="005447F7">
        <w:rPr>
          <w:rFonts w:eastAsia="標楷體"/>
          <w:color w:val="1F1F1F"/>
        </w:rPr>
        <w:t>Large Format Poster</w:t>
      </w:r>
      <w:r w:rsidRPr="005447F7">
        <w:rPr>
          <w:rFonts w:eastAsia="標楷體"/>
          <w:color w:val="1F1F1F"/>
        </w:rPr>
        <w:t>，如</w:t>
      </w:r>
      <w:r w:rsidRPr="005447F7">
        <w:rPr>
          <w:rFonts w:eastAsia="標楷體"/>
          <w:color w:val="1F1F1F"/>
        </w:rPr>
        <w:t xml:space="preserve"> A0 </w:t>
      </w:r>
      <w:r w:rsidRPr="005447F7">
        <w:rPr>
          <w:rFonts w:eastAsia="標楷體"/>
          <w:color w:val="1F1F1F"/>
        </w:rPr>
        <w:t>或</w:t>
      </w:r>
      <w:r w:rsidRPr="005447F7">
        <w:rPr>
          <w:rFonts w:eastAsia="標楷體"/>
          <w:color w:val="1F1F1F"/>
        </w:rPr>
        <w:t xml:space="preserve"> 36"x48"</w:t>
      </w:r>
      <w:r w:rsidRPr="005447F7">
        <w:rPr>
          <w:rFonts w:eastAsia="標楷體"/>
          <w:color w:val="1F1F1F"/>
        </w:rPr>
        <w:t>）直接張貼於展板上，或是更精緻的模組化展架。</w:t>
      </w:r>
    </w:p>
    <w:p w14:paraId="35576BF6" w14:textId="7281ADA2" w:rsidR="00C65D59" w:rsidRPr="005447F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摘要顯示的差異：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一個關鍵的細節差異在於「摘要（</w:t>
      </w:r>
      <w:r w:rsidRPr="005447F7">
        <w:rPr>
          <w:rFonts w:eastAsia="標楷體"/>
          <w:color w:val="1F1F1F"/>
        </w:rPr>
        <w:t>Abstract</w:t>
      </w:r>
      <w:r w:rsidRPr="005447F7">
        <w:rPr>
          <w:rFonts w:eastAsia="標楷體"/>
          <w:color w:val="1F1F1F"/>
        </w:rPr>
        <w:t>）」的呈現。在臺灣全國科展，摘要通常直接印在海報左上角。然而，</w:t>
      </w:r>
      <w:r w:rsidRPr="005447F7">
        <w:rPr>
          <w:rFonts w:eastAsia="標楷體"/>
          <w:color w:val="1F1F1F"/>
        </w:rPr>
        <w:t xml:space="preserve">ISEF </w:t>
      </w:r>
      <w:r w:rsidRPr="005447F7">
        <w:rPr>
          <w:rFonts w:eastAsia="標楷體"/>
          <w:color w:val="1F1F1F"/>
        </w:rPr>
        <w:t>的規則建議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不要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將摘要直接印在海報板上，而是必須將大會蓋章核可的官方摘要正本，垂直展示於桌前或特定位置，以確保摘要內</w:t>
      </w:r>
      <w:r w:rsidRPr="005447F7">
        <w:rPr>
          <w:rFonts w:eastAsia="標楷體"/>
          <w:color w:val="1F1F1F"/>
        </w:rPr>
        <w:lastRenderedPageBreak/>
        <w:t>容符合審查規範且未經修改。這點是從國內賽轉戰國際賽的學生最常忽略的細節。</w:t>
      </w:r>
    </w:p>
    <w:p w14:paraId="75D5851F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2.3 </w:t>
      </w:r>
      <w:r w:rsidRPr="005447F7">
        <w:rPr>
          <w:rFonts w:eastAsia="標楷體"/>
          <w:color w:val="1F1F1F"/>
        </w:rPr>
        <w:t>禁止展示項目與安全規範</w:t>
      </w:r>
    </w:p>
    <w:p w14:paraId="1B60DE6A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無論是國內外競賽，為了安全與公平，以下項目嚴格禁止出現在展板或展桌上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7</w:t>
      </w:r>
      <w:r w:rsidRPr="005447F7">
        <w:rPr>
          <w:rFonts w:eastAsia="標楷體"/>
          <w:color w:val="1F1F1F"/>
        </w:rPr>
        <w:t>：</w:t>
      </w:r>
    </w:p>
    <w:p w14:paraId="6E414E6A" w14:textId="77777777" w:rsidR="00C65D59" w:rsidRPr="005447F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生物活體：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植物、動物、微生物均不可現場展示。</w:t>
      </w:r>
    </w:p>
    <w:p w14:paraId="5A6A2467" w14:textId="77777777" w:rsidR="00C65D59" w:rsidRPr="005447F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危險物質：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任何化學藥品、毒性物質、易燃物、乾冰等。</w:t>
      </w:r>
    </w:p>
    <w:p w14:paraId="350372D6" w14:textId="77777777" w:rsidR="00C65D59" w:rsidRPr="005447F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食品：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人類或動物的食物（除非密封且不變質，但通常建議以照片代替）。</w:t>
      </w:r>
    </w:p>
    <w:p w14:paraId="60595967" w14:textId="77777777" w:rsidR="00C65D59" w:rsidRPr="005447F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尖銳物品：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針頭、刀片等。</w:t>
      </w:r>
    </w:p>
    <w:p w14:paraId="5EC7A034" w14:textId="70E6EAF5" w:rsidR="00C65D59" w:rsidRPr="005447F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個資保護：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在評審過程中，特別是匿名審查階段，海報上通常不得出現學校名稱、校徽或指導老師姓名，以維護評審公正性。</w:t>
      </w:r>
    </w:p>
    <w:p w14:paraId="2B59D84A" w14:textId="77777777" w:rsidR="00C65D59" w:rsidRPr="005447F7" w:rsidRDefault="00000000">
      <w:pPr>
        <w:pStyle w:val="2"/>
        <w:spacing w:before="24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3. </w:t>
      </w:r>
      <w:r w:rsidRPr="005447F7">
        <w:rPr>
          <w:rFonts w:eastAsia="標楷體"/>
          <w:color w:val="1F1F1F"/>
        </w:rPr>
        <w:t>認知心理學在海報設計中的應用</w:t>
      </w:r>
    </w:p>
    <w:p w14:paraId="30CB49DA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設計優質海報不僅是美學問題，更是心理學問題。了解大腦如何處理視覺資訊，能幫助我們設計出更具傳播效率的海報。</w:t>
      </w:r>
    </w:p>
    <w:p w14:paraId="01DD082A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3.1 </w:t>
      </w:r>
      <w:r w:rsidRPr="005447F7">
        <w:rPr>
          <w:rFonts w:eastAsia="標楷體"/>
          <w:color w:val="1F1F1F"/>
        </w:rPr>
        <w:t>格式塔心理學（</w:t>
      </w:r>
      <w:r w:rsidRPr="005447F7">
        <w:rPr>
          <w:rFonts w:eastAsia="標楷體"/>
          <w:color w:val="1F1F1F"/>
        </w:rPr>
        <w:t>Gestalt Psychology</w:t>
      </w:r>
      <w:r w:rsidRPr="005447F7">
        <w:rPr>
          <w:rFonts w:eastAsia="標楷體"/>
          <w:color w:val="1F1F1F"/>
        </w:rPr>
        <w:t>）原則</w:t>
      </w:r>
    </w:p>
    <w:p w14:paraId="178EF02D" w14:textId="346329B4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格式塔理論認為，人類的視覺系統傾向於將各個元素整合成一個整體來感知。善用這些原則可以讓海報版面井然有序。</w:t>
      </w:r>
    </w:p>
    <w:p w14:paraId="61A0BBAD" w14:textId="77777777" w:rsidR="00C65D59" w:rsidRPr="005447F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接近性（</w:t>
      </w:r>
      <w:r w:rsidRPr="005447F7">
        <w:rPr>
          <w:rFonts w:eastAsia="標楷體"/>
          <w:b/>
          <w:bCs/>
          <w:color w:val="1F1F1F"/>
        </w:rPr>
        <w:t>Proximity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距離相近的物件會被視為一組。</w:t>
      </w:r>
    </w:p>
    <w:p w14:paraId="6E4CB7B5" w14:textId="77777777" w:rsidR="00C65D59" w:rsidRPr="005447F7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實務應用：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圖片的說明文字（</w:t>
      </w:r>
      <w:r w:rsidRPr="005447F7">
        <w:rPr>
          <w:rFonts w:eastAsia="標楷體"/>
          <w:color w:val="1F1F1F"/>
        </w:rPr>
        <w:t>Caption</w:t>
      </w:r>
      <w:r w:rsidRPr="005447F7">
        <w:rPr>
          <w:rFonts w:eastAsia="標楷體"/>
          <w:color w:val="1F1F1F"/>
        </w:rPr>
        <w:t>）必須緊貼該圖片，距離不能太遠。圖表與其相關的解釋文字應放置在一起，形成一個視覺區塊。不要讓評審的視線在海報上來回跳躍尋找對應資訊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19</w:t>
      </w:r>
      <w:r w:rsidRPr="005447F7">
        <w:rPr>
          <w:rFonts w:eastAsia="標楷體"/>
          <w:color w:val="1F1F1F"/>
        </w:rPr>
        <w:t>。</w:t>
      </w:r>
    </w:p>
    <w:p w14:paraId="10308F1F" w14:textId="77777777" w:rsidR="00C65D59" w:rsidRPr="005447F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相似性（</w:t>
      </w:r>
      <w:r w:rsidRPr="005447F7">
        <w:rPr>
          <w:rFonts w:eastAsia="標楷體"/>
          <w:b/>
          <w:bCs/>
          <w:color w:val="1F1F1F"/>
        </w:rPr>
        <w:t>Similarity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外觀相似的元素會被視為具有相同功能。</w:t>
      </w:r>
    </w:p>
    <w:p w14:paraId="31EF4F2F" w14:textId="77777777" w:rsidR="00C65D59" w:rsidRPr="005447F7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實務應用：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所有的「章節標題」（如：前言、方法、結果）應使用相同的字體、顏色與大小。所有的圖表標題也應保持一致的格式。這種重複性（</w:t>
      </w:r>
      <w:r w:rsidRPr="005447F7">
        <w:rPr>
          <w:rFonts w:eastAsia="標楷體"/>
          <w:color w:val="1F1F1F"/>
        </w:rPr>
        <w:t>Repetition</w:t>
      </w:r>
      <w:r w:rsidRPr="005447F7">
        <w:rPr>
          <w:rFonts w:eastAsia="標楷體"/>
          <w:color w:val="1F1F1F"/>
        </w:rPr>
        <w:t>）能幫助大腦快速建立資訊的層級結構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2</w:t>
      </w:r>
      <w:r w:rsidRPr="005447F7">
        <w:rPr>
          <w:rFonts w:eastAsia="標楷體"/>
          <w:color w:val="1F1F1F"/>
        </w:rPr>
        <w:t>。</w:t>
      </w:r>
    </w:p>
    <w:p w14:paraId="44BD9D62" w14:textId="77777777" w:rsidR="00C65D59" w:rsidRPr="005447F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封閉性（</w:t>
      </w:r>
      <w:r w:rsidRPr="005447F7">
        <w:rPr>
          <w:rFonts w:eastAsia="標楷體"/>
          <w:b/>
          <w:bCs/>
          <w:color w:val="1F1F1F"/>
        </w:rPr>
        <w:t>Closure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視覺系統傾向於將不完整的圖形視為完整。</w:t>
      </w:r>
    </w:p>
    <w:p w14:paraId="394B943D" w14:textId="1B886F21" w:rsidR="00C65D59" w:rsidRPr="005447F7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實務應用：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使用細微的邊框或背景色塊來界定不同的內容區域（例如：給「結論」區塊加上一個淺色的背景框）。即使邊框線條不明顯，大腦也會自動將其視為一個獨立的區域，有助於資訊的分類與吸收。</w:t>
      </w:r>
    </w:p>
    <w:p w14:paraId="2382C79F" w14:textId="77777777" w:rsidR="00C65D59" w:rsidRPr="005447F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連續性（</w:t>
      </w:r>
      <w:r w:rsidRPr="005447F7">
        <w:rPr>
          <w:rFonts w:eastAsia="標楷體"/>
          <w:b/>
          <w:bCs/>
          <w:color w:val="1F1F1F"/>
        </w:rPr>
        <w:t>Continuity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視覺傾向於跟隨線條或排列的方向移動。</w:t>
      </w:r>
    </w:p>
    <w:p w14:paraId="6B30E1F8" w14:textId="563A1231" w:rsidR="00C65D59" w:rsidRPr="005447F7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實務應用：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利用版面的欄位（</w:t>
      </w:r>
      <w:r w:rsidRPr="005447F7">
        <w:rPr>
          <w:rFonts w:eastAsia="標楷體"/>
          <w:color w:val="1F1F1F"/>
        </w:rPr>
        <w:t>Columns</w:t>
      </w:r>
      <w:r w:rsidRPr="005447F7">
        <w:rPr>
          <w:rFonts w:eastAsia="標楷體"/>
          <w:color w:val="1F1F1F"/>
        </w:rPr>
        <w:t>）引導視線由上而下流動。確保文字與圖片的排列形成自然的視覺路徑，避免視線被突兀的元素打斷。</w:t>
      </w:r>
    </w:p>
    <w:p w14:paraId="4D59E4AC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3.2 </w:t>
      </w:r>
      <w:r w:rsidRPr="005447F7">
        <w:rPr>
          <w:rFonts w:eastAsia="標楷體"/>
          <w:color w:val="1F1F1F"/>
        </w:rPr>
        <w:t>降低認知負荷（</w:t>
      </w:r>
      <w:r w:rsidRPr="005447F7">
        <w:rPr>
          <w:rFonts w:eastAsia="標楷體"/>
          <w:color w:val="1F1F1F"/>
        </w:rPr>
        <w:t>Cognitive Load</w:t>
      </w:r>
      <w:r w:rsidRPr="005447F7">
        <w:rPr>
          <w:rFonts w:eastAsia="標楷體"/>
          <w:color w:val="1F1F1F"/>
        </w:rPr>
        <w:t>）</w:t>
      </w:r>
    </w:p>
    <w:p w14:paraId="0CA684D0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認知負荷理論指出，人的工作記憶容量是有限的。如果海報充滿了無關的裝飾、雜亂的字體或過</w:t>
      </w:r>
      <w:r w:rsidRPr="005447F7">
        <w:rPr>
          <w:rFonts w:eastAsia="標楷體"/>
          <w:color w:val="1F1F1F"/>
        </w:rPr>
        <w:lastRenderedPageBreak/>
        <w:t>於鮮豔的背景，觀眾的大腦資源將被這些「雜訊」消耗，導致無法專注於核心的科學內容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3</w:t>
      </w:r>
      <w:r w:rsidRPr="005447F7">
        <w:rPr>
          <w:rFonts w:eastAsia="標楷體"/>
          <w:color w:val="1F1F1F"/>
        </w:rPr>
        <w:t>。</w:t>
      </w:r>
    </w:p>
    <w:p w14:paraId="6B41C95F" w14:textId="271ADA28" w:rsidR="00C65D59" w:rsidRPr="005447F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留白（</w:t>
      </w:r>
      <w:r w:rsidRPr="005447F7">
        <w:rPr>
          <w:rFonts w:eastAsia="標楷體"/>
          <w:b/>
          <w:bCs/>
          <w:color w:val="1F1F1F"/>
        </w:rPr>
        <w:t>Negative Space/White Space</w:t>
      </w:r>
      <w:r w:rsidRPr="005447F7">
        <w:rPr>
          <w:rFonts w:eastAsia="標楷體"/>
          <w:b/>
          <w:bCs/>
          <w:color w:val="1F1F1F"/>
        </w:rPr>
        <w:t>）的藝術：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留白不是浪費空間，而是設計的呼吸孔。適度的留白能區隔資訊，降低壓迫感，讓重點更突出。建議版面至少保留</w:t>
      </w:r>
      <w:r w:rsidRPr="005447F7">
        <w:rPr>
          <w:rFonts w:eastAsia="標楷體"/>
          <w:color w:val="1F1F1F"/>
        </w:rPr>
        <w:t xml:space="preserve"> 20% </w:t>
      </w:r>
      <w:r w:rsidRPr="005447F7">
        <w:rPr>
          <w:rFonts w:eastAsia="標楷體"/>
          <w:color w:val="1F1F1F"/>
        </w:rPr>
        <w:t>至</w:t>
      </w:r>
      <w:r w:rsidRPr="005447F7">
        <w:rPr>
          <w:rFonts w:eastAsia="標楷體"/>
          <w:color w:val="1F1F1F"/>
        </w:rPr>
        <w:t xml:space="preserve"> 30% </w:t>
      </w:r>
      <w:r w:rsidRPr="005447F7">
        <w:rPr>
          <w:rFonts w:eastAsia="標楷體"/>
          <w:color w:val="1F1F1F"/>
        </w:rPr>
        <w:t>的留白。</w:t>
      </w:r>
    </w:p>
    <w:p w14:paraId="55D728FD" w14:textId="7252AC5C" w:rsidR="00C65D59" w:rsidRPr="005447F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圖文比例：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圖像處理速度比文字快</w:t>
      </w:r>
      <w:r w:rsidRPr="005447F7">
        <w:rPr>
          <w:rFonts w:eastAsia="標楷體"/>
          <w:color w:val="1F1F1F"/>
        </w:rPr>
        <w:t xml:space="preserve"> 6 </w:t>
      </w:r>
      <w:r w:rsidRPr="005447F7">
        <w:rPr>
          <w:rFonts w:eastAsia="標楷體"/>
          <w:color w:val="1F1F1F"/>
        </w:rPr>
        <w:t>萬倍。優質的海報應以圖表為主（佔</w:t>
      </w:r>
      <w:r w:rsidRPr="005447F7">
        <w:rPr>
          <w:rFonts w:eastAsia="標楷體"/>
          <w:color w:val="1F1F1F"/>
        </w:rPr>
        <w:t xml:space="preserve"> 40-50%</w:t>
      </w:r>
      <w:r w:rsidRPr="005447F7">
        <w:rPr>
          <w:rFonts w:eastAsia="標楷體"/>
          <w:color w:val="1F1F1F"/>
        </w:rPr>
        <w:t>），標題次之（</w:t>
      </w:r>
      <w:r w:rsidRPr="005447F7">
        <w:rPr>
          <w:rFonts w:eastAsia="標楷體"/>
          <w:color w:val="1F1F1F"/>
        </w:rPr>
        <w:t>20%</w:t>
      </w:r>
      <w:r w:rsidRPr="005447F7">
        <w:rPr>
          <w:rFonts w:eastAsia="標楷體"/>
          <w:color w:val="1F1F1F"/>
        </w:rPr>
        <w:t>），純文字說明應降至最低（</w:t>
      </w:r>
      <w:r w:rsidRPr="005447F7">
        <w:rPr>
          <w:rFonts w:eastAsia="標楷體"/>
          <w:color w:val="1F1F1F"/>
        </w:rPr>
        <w:t>20%</w:t>
      </w:r>
      <w:r w:rsidRPr="005447F7">
        <w:rPr>
          <w:rFonts w:eastAsia="標楷體"/>
          <w:color w:val="1F1F1F"/>
        </w:rPr>
        <w:t>）。</w:t>
      </w:r>
    </w:p>
    <w:p w14:paraId="3A4C45E8" w14:textId="68054776" w:rsidR="00C65D59" w:rsidRPr="005447F7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訊噪比（</w:t>
      </w:r>
      <w:r w:rsidRPr="005447F7">
        <w:rPr>
          <w:rFonts w:eastAsia="標楷體"/>
          <w:b/>
          <w:bCs/>
          <w:color w:val="1F1F1F"/>
        </w:rPr>
        <w:t>Signal-to-Noise Ratio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移除所有不具資訊價值的裝飾性插圖（</w:t>
      </w:r>
      <w:r w:rsidRPr="005447F7">
        <w:rPr>
          <w:rFonts w:eastAsia="標楷體"/>
          <w:color w:val="1F1F1F"/>
        </w:rPr>
        <w:t>Clip Art</w:t>
      </w:r>
      <w:r w:rsidRPr="005447F7">
        <w:rPr>
          <w:rFonts w:eastAsia="標楷體"/>
          <w:color w:val="1F1F1F"/>
        </w:rPr>
        <w:t>）、過度複雜的邊框或</w:t>
      </w:r>
      <w:r w:rsidRPr="005447F7">
        <w:rPr>
          <w:rFonts w:eastAsia="標楷體"/>
          <w:color w:val="1F1F1F"/>
        </w:rPr>
        <w:t xml:space="preserve"> 3D </w:t>
      </w:r>
      <w:r w:rsidRPr="005447F7">
        <w:rPr>
          <w:rFonts w:eastAsia="標楷體"/>
          <w:color w:val="1F1F1F"/>
        </w:rPr>
        <w:t>文字特效。每一滴墨水都應該為傳遞科學內容服務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。</w:t>
      </w:r>
    </w:p>
    <w:p w14:paraId="1B22A083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3.3 </w:t>
      </w:r>
      <w:r w:rsidRPr="005447F7">
        <w:rPr>
          <w:rFonts w:eastAsia="標楷體"/>
          <w:color w:val="1F1F1F"/>
        </w:rPr>
        <w:t>視覺動線設計</w:t>
      </w:r>
    </w:p>
    <w:p w14:paraId="1A748328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學術海報的閱讀動線通常遵循特定的模式：</w:t>
      </w:r>
    </w:p>
    <w:p w14:paraId="02D8468A" w14:textId="620190D6" w:rsidR="00C65D59" w:rsidRPr="005447F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 xml:space="preserve">Z </w:t>
      </w:r>
      <w:r w:rsidRPr="005447F7">
        <w:rPr>
          <w:rFonts w:eastAsia="標楷體"/>
          <w:b/>
          <w:bCs/>
          <w:color w:val="1F1F1F"/>
        </w:rPr>
        <w:t>字型動線（</w:t>
      </w:r>
      <w:r w:rsidRPr="005447F7">
        <w:rPr>
          <w:rFonts w:eastAsia="標楷體"/>
          <w:b/>
          <w:bCs/>
          <w:color w:val="1F1F1F"/>
        </w:rPr>
        <w:t>Z-Pattern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對於圖像較多、文字較少的海報，視線通常從左上角開始，掃視至右上角，然後斜向左下，最後結束於右下角。</w:t>
      </w:r>
    </w:p>
    <w:p w14:paraId="3E16C7AB" w14:textId="0C8EC21E" w:rsidR="00C65D59" w:rsidRPr="005447F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 xml:space="preserve">F </w:t>
      </w:r>
      <w:r w:rsidRPr="005447F7">
        <w:rPr>
          <w:rFonts w:eastAsia="標楷體"/>
          <w:b/>
          <w:bCs/>
          <w:color w:val="1F1F1F"/>
        </w:rPr>
        <w:t>字型動線（</w:t>
      </w:r>
      <w:r w:rsidRPr="005447F7">
        <w:rPr>
          <w:rFonts w:eastAsia="標楷體"/>
          <w:b/>
          <w:bCs/>
          <w:color w:val="1F1F1F"/>
        </w:rPr>
        <w:t>F-Pattern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對於文字較多的版面，讀者傾向於先閱讀頂部標題，然後沿著左側邊緣向下掃描，看到感興趣的標題再向右閱讀。</w:t>
      </w:r>
    </w:p>
    <w:p w14:paraId="0AF6B30F" w14:textId="7FCB7160" w:rsidR="00C65D59" w:rsidRPr="005447F7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縱向欄位流動：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在三折板或分欄海報中，標準閱讀順序是「先上後下，再左後右」。設計時必須嚴格遵守此規則，切勿讓內容跨欄閱讀（例如讀完左欄第一行接右欄第一行），這會造成極大的閱讀困擾。</w:t>
      </w:r>
    </w:p>
    <w:p w14:paraId="353FF8F4" w14:textId="77777777" w:rsidR="00C65D59" w:rsidRPr="005447F7" w:rsidRDefault="00000000">
      <w:pPr>
        <w:pStyle w:val="2"/>
        <w:spacing w:before="24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4. </w:t>
      </w:r>
      <w:r w:rsidRPr="005447F7">
        <w:rPr>
          <w:rFonts w:eastAsia="標楷體"/>
          <w:color w:val="1F1F1F"/>
        </w:rPr>
        <w:t>排版佈局與字體工程</w:t>
      </w:r>
    </w:p>
    <w:p w14:paraId="723E6C73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4.1 C.R.A.P. </w:t>
      </w:r>
      <w:r w:rsidRPr="005447F7">
        <w:rPr>
          <w:rFonts w:eastAsia="標楷體"/>
          <w:color w:val="1F1F1F"/>
        </w:rPr>
        <w:t>排版四原則</w:t>
      </w:r>
    </w:p>
    <w:p w14:paraId="5FD36060" w14:textId="30AF6901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C.R.A.P. </w:t>
      </w:r>
      <w:r w:rsidRPr="005447F7">
        <w:rPr>
          <w:rFonts w:eastAsia="標楷體"/>
          <w:color w:val="1F1F1F"/>
        </w:rPr>
        <w:t>是平面設計中四個基本原則的縮寫，分別是：對比（</w:t>
      </w:r>
      <w:r w:rsidRPr="005447F7">
        <w:rPr>
          <w:rFonts w:eastAsia="標楷體"/>
          <w:color w:val="1F1F1F"/>
        </w:rPr>
        <w:t>Contrast</w:t>
      </w:r>
      <w:r w:rsidRPr="005447F7">
        <w:rPr>
          <w:rFonts w:eastAsia="標楷體"/>
          <w:color w:val="1F1F1F"/>
        </w:rPr>
        <w:t>）、重複（</w:t>
      </w:r>
      <w:r w:rsidRPr="005447F7">
        <w:rPr>
          <w:rFonts w:eastAsia="標楷體"/>
          <w:color w:val="1F1F1F"/>
        </w:rPr>
        <w:t>Repetition</w:t>
      </w:r>
      <w:r w:rsidRPr="005447F7">
        <w:rPr>
          <w:rFonts w:eastAsia="標楷體"/>
          <w:color w:val="1F1F1F"/>
        </w:rPr>
        <w:t>）、對齊（</w:t>
      </w:r>
      <w:r w:rsidRPr="005447F7">
        <w:rPr>
          <w:rFonts w:eastAsia="標楷體"/>
          <w:color w:val="1F1F1F"/>
        </w:rPr>
        <w:t>Alignment</w:t>
      </w:r>
      <w:r w:rsidRPr="005447F7">
        <w:rPr>
          <w:rFonts w:eastAsia="標楷體"/>
          <w:color w:val="1F1F1F"/>
        </w:rPr>
        <w:t>）與接近（</w:t>
      </w:r>
      <w:r w:rsidRPr="005447F7">
        <w:rPr>
          <w:rFonts w:eastAsia="標楷體"/>
          <w:color w:val="1F1F1F"/>
        </w:rPr>
        <w:t>Proximity</w:t>
      </w:r>
      <w:r w:rsidRPr="005447F7">
        <w:rPr>
          <w:rFonts w:eastAsia="標楷體"/>
          <w:color w:val="1F1F1F"/>
        </w:rPr>
        <w:t>）。</w:t>
      </w:r>
    </w:p>
    <w:p w14:paraId="4B253298" w14:textId="661EBBBF" w:rsidR="00C65D59" w:rsidRPr="005447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對比（</w:t>
      </w:r>
      <w:r w:rsidRPr="005447F7">
        <w:rPr>
          <w:rFonts w:eastAsia="標楷體"/>
          <w:b/>
          <w:bCs/>
          <w:color w:val="1F1F1F"/>
        </w:rPr>
        <w:t>Contrast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透過顏色、大小、粗細的強烈差異來區分資訊層級。標題必須顯著大於內文，背景與文字必須有足夠的反差（如深底白字或白底黑字）。不要害怕使用「非常大」的標題字。</w:t>
      </w:r>
    </w:p>
    <w:p w14:paraId="6D12C463" w14:textId="082BFE21" w:rsidR="00C65D59" w:rsidRPr="005447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重複（</w:t>
      </w:r>
      <w:r w:rsidRPr="005447F7">
        <w:rPr>
          <w:rFonts w:eastAsia="標楷體"/>
          <w:b/>
          <w:bCs/>
          <w:color w:val="1F1F1F"/>
        </w:rPr>
        <w:t>Repetition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重複使用設計元素（如相同的項目符號、一致的線條粗細、統一的配色方案）來建立統一感與專業感。</w:t>
      </w:r>
    </w:p>
    <w:p w14:paraId="0404FBA3" w14:textId="55BFFA5A" w:rsidR="00C65D59" w:rsidRPr="005447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對齊（</w:t>
      </w:r>
      <w:r w:rsidRPr="005447F7">
        <w:rPr>
          <w:rFonts w:eastAsia="標楷體"/>
          <w:b/>
          <w:bCs/>
          <w:color w:val="1F1F1F"/>
        </w:rPr>
        <w:t>Alignment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這是新手與專家的分水嶺。版面上的每一個元素都應該與其他元素有視覺上的連結。建議使用靠左對齊（</w:t>
      </w:r>
      <w:r w:rsidRPr="005447F7">
        <w:rPr>
          <w:rFonts w:eastAsia="標楷體"/>
          <w:color w:val="1F1F1F"/>
        </w:rPr>
        <w:t>Left Align</w:t>
      </w:r>
      <w:r w:rsidRPr="005447F7">
        <w:rPr>
          <w:rFonts w:eastAsia="標楷體"/>
          <w:color w:val="1F1F1F"/>
        </w:rPr>
        <w:t>）或左右對齊（</w:t>
      </w:r>
      <w:r w:rsidRPr="005447F7">
        <w:rPr>
          <w:rFonts w:eastAsia="標楷體"/>
          <w:color w:val="1F1F1F"/>
        </w:rPr>
        <w:t>Justify</w:t>
      </w:r>
      <w:r w:rsidRPr="005447F7">
        <w:rPr>
          <w:rFonts w:eastAsia="標楷體"/>
          <w:color w:val="1F1F1F"/>
        </w:rPr>
        <w:t>），避免使用大量的居中對齊（</w:t>
      </w:r>
      <w:r w:rsidRPr="005447F7">
        <w:rPr>
          <w:rFonts w:eastAsia="標楷體"/>
          <w:color w:val="1F1F1F"/>
        </w:rPr>
        <w:t>Center Align</w:t>
      </w:r>
      <w:r w:rsidRPr="005447F7">
        <w:rPr>
          <w:rFonts w:eastAsia="標楷體"/>
          <w:color w:val="1F1F1F"/>
        </w:rPr>
        <w:t>），因為居中對齊的文字段落難以閱讀且邊緣不整齊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2</w:t>
      </w:r>
      <w:r w:rsidRPr="005447F7">
        <w:rPr>
          <w:rFonts w:eastAsia="標楷體"/>
          <w:color w:val="1F1F1F"/>
        </w:rPr>
        <w:t>。善用設計軟體中的「對齊工具」與「參考線」是必要的。</w:t>
      </w:r>
    </w:p>
    <w:p w14:paraId="4E363E75" w14:textId="19FBAAA3" w:rsidR="00C65D59" w:rsidRPr="005447F7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接近（</w:t>
      </w:r>
      <w:r w:rsidRPr="005447F7">
        <w:rPr>
          <w:rFonts w:eastAsia="標楷體"/>
          <w:b/>
          <w:bCs/>
          <w:color w:val="1F1F1F"/>
        </w:rPr>
        <w:t>Proximity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如前所述，將相關聯的資訊群組化，用空間距離來表達邏輯關係。</w:t>
      </w:r>
    </w:p>
    <w:p w14:paraId="1206E8B8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4.2 </w:t>
      </w:r>
      <w:r w:rsidRPr="005447F7">
        <w:rPr>
          <w:rFonts w:eastAsia="標楷體"/>
          <w:color w:val="1F1F1F"/>
        </w:rPr>
        <w:t>字體選擇與應用</w:t>
      </w:r>
    </w:p>
    <w:p w14:paraId="2E1AA8FF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字體的選擇直接影響可讀性（</w:t>
      </w:r>
      <w:r w:rsidRPr="005447F7">
        <w:rPr>
          <w:rFonts w:eastAsia="標楷體"/>
          <w:color w:val="1F1F1F"/>
        </w:rPr>
        <w:t>Readability</w:t>
      </w:r>
      <w:r w:rsidRPr="005447F7">
        <w:rPr>
          <w:rFonts w:eastAsia="標楷體"/>
          <w:color w:val="1F1F1F"/>
        </w:rPr>
        <w:t>）與易讀性（</w:t>
      </w:r>
      <w:r w:rsidRPr="005447F7">
        <w:rPr>
          <w:rFonts w:eastAsia="標楷體"/>
          <w:color w:val="1F1F1F"/>
        </w:rPr>
        <w:t>Legibility</w:t>
      </w:r>
      <w:r w:rsidRPr="005447F7">
        <w:rPr>
          <w:rFonts w:eastAsia="標楷體"/>
          <w:color w:val="1F1F1F"/>
        </w:rPr>
        <w:t>）。</w:t>
      </w:r>
    </w:p>
    <w:p w14:paraId="4FD2036C" w14:textId="77777777" w:rsidR="00C65D59" w:rsidRPr="005447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lastRenderedPageBreak/>
        <w:t>無襯線體（</w:t>
      </w:r>
      <w:r w:rsidRPr="005447F7">
        <w:rPr>
          <w:rFonts w:eastAsia="標楷體"/>
          <w:b/>
          <w:bCs/>
          <w:color w:val="1F1F1F"/>
        </w:rPr>
        <w:t>Sans-Serif</w:t>
      </w:r>
      <w:r w:rsidRPr="005447F7">
        <w:rPr>
          <w:rFonts w:eastAsia="標楷體"/>
          <w:b/>
          <w:bCs/>
          <w:color w:val="1F1F1F"/>
        </w:rPr>
        <w:t>）</w:t>
      </w:r>
      <w:r w:rsidRPr="005447F7">
        <w:rPr>
          <w:rFonts w:eastAsia="標楷體"/>
          <w:b/>
          <w:bCs/>
          <w:color w:val="1F1F1F"/>
        </w:rPr>
        <w:t xml:space="preserve"> vs. </w:t>
      </w:r>
      <w:r w:rsidRPr="005447F7">
        <w:rPr>
          <w:rFonts w:eastAsia="標楷體"/>
          <w:b/>
          <w:bCs/>
          <w:color w:val="1F1F1F"/>
        </w:rPr>
        <w:t>襯線體（</w:t>
      </w:r>
      <w:r w:rsidRPr="005447F7">
        <w:rPr>
          <w:rFonts w:eastAsia="標楷體"/>
          <w:b/>
          <w:bCs/>
          <w:color w:val="1F1F1F"/>
        </w:rPr>
        <w:t>Serif</w:t>
      </w:r>
      <w:r w:rsidRPr="005447F7">
        <w:rPr>
          <w:rFonts w:eastAsia="標楷體"/>
          <w:b/>
          <w:bCs/>
          <w:color w:val="1F1F1F"/>
        </w:rPr>
        <w:t>）：</w:t>
      </w:r>
    </w:p>
    <w:p w14:paraId="46DA1655" w14:textId="05AC18E3" w:rsidR="00C65D59" w:rsidRPr="005447F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推薦使用無襯線體：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如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Arial</w:t>
      </w:r>
      <w:r w:rsidRPr="005447F7">
        <w:rPr>
          <w:rFonts w:eastAsia="標楷體"/>
          <w:color w:val="1F1F1F"/>
        </w:rPr>
        <w:t xml:space="preserve">, </w:t>
      </w:r>
      <w:r w:rsidRPr="005447F7">
        <w:rPr>
          <w:rFonts w:eastAsia="標楷體"/>
          <w:b/>
          <w:bCs/>
          <w:color w:val="1F1F1F"/>
        </w:rPr>
        <w:t>Helvetica</w:t>
      </w:r>
      <w:r w:rsidRPr="005447F7">
        <w:rPr>
          <w:rFonts w:eastAsia="標楷體"/>
          <w:color w:val="1F1F1F"/>
        </w:rPr>
        <w:t xml:space="preserve">, </w:t>
      </w:r>
      <w:r w:rsidRPr="005447F7">
        <w:rPr>
          <w:rFonts w:eastAsia="標楷體"/>
          <w:b/>
          <w:bCs/>
          <w:color w:val="1F1F1F"/>
        </w:rPr>
        <w:t>Verdana</w:t>
      </w:r>
      <w:r w:rsidRPr="005447F7">
        <w:rPr>
          <w:rFonts w:eastAsia="標楷體"/>
          <w:color w:val="1F1F1F"/>
        </w:rPr>
        <w:t xml:space="preserve">, </w:t>
      </w:r>
      <w:r w:rsidRPr="005447F7">
        <w:rPr>
          <w:rFonts w:eastAsia="標楷體"/>
          <w:b/>
          <w:bCs/>
          <w:color w:val="1F1F1F"/>
        </w:rPr>
        <w:t>Open Sans</w:t>
      </w:r>
      <w:r w:rsidRPr="005447F7">
        <w:rPr>
          <w:rFonts w:eastAsia="標楷體"/>
          <w:color w:val="1F1F1F"/>
        </w:rPr>
        <w:t>（英文）以及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微軟正黑體（</w:t>
      </w:r>
      <w:r w:rsidRPr="005447F7">
        <w:rPr>
          <w:rFonts w:eastAsia="標楷體"/>
          <w:b/>
          <w:bCs/>
          <w:color w:val="1F1F1F"/>
        </w:rPr>
        <w:t xml:space="preserve">Microsoft </w:t>
      </w:r>
      <w:proofErr w:type="spellStart"/>
      <w:r w:rsidRPr="005447F7">
        <w:rPr>
          <w:rFonts w:eastAsia="標楷體"/>
          <w:b/>
          <w:bCs/>
          <w:color w:val="1F1F1F"/>
        </w:rPr>
        <w:t>JhengHei</w:t>
      </w:r>
      <w:proofErr w:type="spellEnd"/>
      <w:r w:rsidRPr="005447F7">
        <w:rPr>
          <w:rFonts w:eastAsia="標楷體"/>
          <w:b/>
          <w:bCs/>
          <w:color w:val="1F1F1F"/>
        </w:rPr>
        <w:t>）</w:t>
      </w:r>
      <w:r w:rsidRPr="005447F7">
        <w:rPr>
          <w:rFonts w:eastAsia="標楷體"/>
          <w:color w:val="1F1F1F"/>
        </w:rPr>
        <w:t xml:space="preserve">, </w:t>
      </w:r>
      <w:r w:rsidRPr="005447F7">
        <w:rPr>
          <w:rFonts w:eastAsia="標楷體"/>
          <w:b/>
          <w:bCs/>
          <w:color w:val="1F1F1F"/>
        </w:rPr>
        <w:t>黑體（</w:t>
      </w:r>
      <w:r w:rsidRPr="005447F7">
        <w:rPr>
          <w:rFonts w:eastAsia="標楷體"/>
          <w:b/>
          <w:bCs/>
          <w:color w:val="1F1F1F"/>
        </w:rPr>
        <w:t>Heiti</w:t>
      </w:r>
      <w:r w:rsidRPr="005447F7">
        <w:rPr>
          <w:rFonts w:eastAsia="標楷體"/>
          <w:b/>
          <w:bCs/>
          <w:color w:val="1F1F1F"/>
        </w:rPr>
        <w:t>）</w:t>
      </w:r>
      <w:r w:rsidRPr="005447F7">
        <w:rPr>
          <w:rFonts w:eastAsia="標楷體"/>
          <w:color w:val="1F1F1F"/>
        </w:rPr>
        <w:t>（中文）。這類字體線條簡潔，沒有裝飾性的邊角，在海報這種需要遠距離閱讀的媒介上，其清晰度遠優於襯線體。</w:t>
      </w:r>
    </w:p>
    <w:p w14:paraId="37979B63" w14:textId="77777777" w:rsidR="00C65D59" w:rsidRPr="005447F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避免使用襯線體：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如</w:t>
      </w:r>
      <w:r w:rsidRPr="005447F7">
        <w:rPr>
          <w:rFonts w:eastAsia="標楷體"/>
          <w:color w:val="1F1F1F"/>
        </w:rPr>
        <w:t xml:space="preserve"> Times New Roman </w:t>
      </w:r>
      <w:r w:rsidRPr="005447F7">
        <w:rPr>
          <w:rFonts w:eastAsia="標楷體"/>
          <w:color w:val="1F1F1F"/>
        </w:rPr>
        <w:t>或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新細明體（</w:t>
      </w:r>
      <w:proofErr w:type="spellStart"/>
      <w:r w:rsidRPr="005447F7">
        <w:rPr>
          <w:rFonts w:eastAsia="標楷體"/>
          <w:color w:val="1F1F1F"/>
        </w:rPr>
        <w:t>PMingLiU</w:t>
      </w:r>
      <w:proofErr w:type="spellEnd"/>
      <w:r w:rsidRPr="005447F7">
        <w:rPr>
          <w:rFonts w:eastAsia="標楷體"/>
          <w:color w:val="1F1F1F"/>
        </w:rPr>
        <w:t>）。細明體在遠距離觀看時，橫筆過細容易消失，且整體視覺感較為過時。</w:t>
      </w:r>
    </w:p>
    <w:p w14:paraId="4E30FD01" w14:textId="5504B865" w:rsidR="00C65D59" w:rsidRPr="005447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>字體大小建議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：</w:t>
      </w:r>
    </w:p>
    <w:p w14:paraId="4866F99D" w14:textId="77777777" w:rsidR="00C65D59" w:rsidRPr="005447F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主標題（</w:t>
      </w:r>
      <w:r w:rsidRPr="005447F7">
        <w:rPr>
          <w:rFonts w:eastAsia="標楷體"/>
          <w:b/>
          <w:bCs/>
          <w:color w:val="1F1F1F"/>
        </w:rPr>
        <w:t>Title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72pt - 100pt</w:t>
      </w:r>
      <w:r w:rsidRPr="005447F7">
        <w:rPr>
          <w:rFonts w:eastAsia="標楷體"/>
          <w:color w:val="1F1F1F"/>
        </w:rPr>
        <w:t>（約</w:t>
      </w:r>
      <w:r w:rsidRPr="005447F7">
        <w:rPr>
          <w:rFonts w:eastAsia="標楷體"/>
          <w:color w:val="1F1F1F"/>
        </w:rPr>
        <w:t xml:space="preserve"> 2.5 - 3.5 </w:t>
      </w:r>
      <w:r w:rsidRPr="005447F7">
        <w:rPr>
          <w:rFonts w:eastAsia="標楷體"/>
          <w:color w:val="1F1F1F"/>
        </w:rPr>
        <w:t>公分高），確保在</w:t>
      </w:r>
      <w:r w:rsidRPr="005447F7">
        <w:rPr>
          <w:rFonts w:eastAsia="標楷體"/>
          <w:color w:val="1F1F1F"/>
        </w:rPr>
        <w:t xml:space="preserve"> 3-5 </w:t>
      </w:r>
      <w:r w:rsidRPr="005447F7">
        <w:rPr>
          <w:rFonts w:eastAsia="標楷體"/>
          <w:color w:val="1F1F1F"/>
        </w:rPr>
        <w:t>公尺外可見。</w:t>
      </w:r>
    </w:p>
    <w:p w14:paraId="3182C53E" w14:textId="77777777" w:rsidR="00C65D59" w:rsidRPr="005447F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作者</w:t>
      </w:r>
      <w:r w:rsidRPr="005447F7">
        <w:rPr>
          <w:rFonts w:eastAsia="標楷體"/>
          <w:b/>
          <w:bCs/>
          <w:color w:val="1F1F1F"/>
        </w:rPr>
        <w:t>/</w:t>
      </w:r>
      <w:r w:rsidRPr="005447F7">
        <w:rPr>
          <w:rFonts w:eastAsia="標楷體"/>
          <w:b/>
          <w:bCs/>
          <w:color w:val="1F1F1F"/>
        </w:rPr>
        <w:t>學校單位：</w:t>
      </w:r>
      <w:r w:rsidRPr="005447F7">
        <w:rPr>
          <w:rFonts w:eastAsia="標楷體"/>
          <w:color w:val="1F1F1F"/>
        </w:rPr>
        <w:t xml:space="preserve"> 40pt - 60pt</w:t>
      </w:r>
      <w:r w:rsidRPr="005447F7">
        <w:rPr>
          <w:rFonts w:eastAsia="標楷體"/>
          <w:color w:val="1F1F1F"/>
        </w:rPr>
        <w:t>。</w:t>
      </w:r>
    </w:p>
    <w:p w14:paraId="00D5A0C3" w14:textId="77777777" w:rsidR="00C65D59" w:rsidRPr="005447F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章節標題（</w:t>
      </w:r>
      <w:r w:rsidRPr="005447F7">
        <w:rPr>
          <w:rFonts w:eastAsia="標楷體"/>
          <w:b/>
          <w:bCs/>
          <w:color w:val="1F1F1F"/>
        </w:rPr>
        <w:t>Headers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36pt - 50pt</w:t>
      </w:r>
      <w:r w:rsidRPr="005447F7">
        <w:rPr>
          <w:rFonts w:eastAsia="標楷體"/>
          <w:color w:val="1F1F1F"/>
        </w:rPr>
        <w:t>。</w:t>
      </w:r>
    </w:p>
    <w:p w14:paraId="1E850606" w14:textId="1F3D82B8" w:rsidR="00C65D59" w:rsidRPr="005447F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內文（</w:t>
      </w:r>
      <w:r w:rsidRPr="005447F7">
        <w:rPr>
          <w:rFonts w:eastAsia="標楷體"/>
          <w:b/>
          <w:bCs/>
          <w:color w:val="1F1F1F"/>
        </w:rPr>
        <w:t>Body Text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24pt - 32pt</w:t>
      </w:r>
      <w:r w:rsidRPr="005447F7">
        <w:rPr>
          <w:rFonts w:eastAsia="標楷體"/>
          <w:color w:val="1F1F1F"/>
        </w:rPr>
        <w:t>。</w:t>
      </w:r>
      <w:r w:rsidRPr="005447F7">
        <w:rPr>
          <w:rFonts w:eastAsia="標楷體"/>
          <w:b/>
          <w:bCs/>
          <w:color w:val="1F1F1F"/>
        </w:rPr>
        <w:t>絕對不要小於</w:t>
      </w:r>
      <w:r w:rsidRPr="005447F7">
        <w:rPr>
          <w:rFonts w:eastAsia="標楷體"/>
          <w:b/>
          <w:bCs/>
          <w:color w:val="1F1F1F"/>
        </w:rPr>
        <w:t xml:space="preserve"> 24pt</w:t>
      </w:r>
      <w:r w:rsidRPr="005447F7">
        <w:rPr>
          <w:rFonts w:eastAsia="標楷體"/>
          <w:color w:val="1F1F1F"/>
        </w:rPr>
        <w:t>，否則觀眾需貼著海報才能看清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。</w:t>
      </w:r>
    </w:p>
    <w:p w14:paraId="7044DBF6" w14:textId="01BAD286" w:rsidR="00C65D59" w:rsidRPr="005447F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字體搭配：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建議整張海報使用不超過</w:t>
      </w:r>
      <w:r w:rsidRPr="005447F7">
        <w:rPr>
          <w:rFonts w:eastAsia="標楷體"/>
          <w:color w:val="1F1F1F"/>
        </w:rPr>
        <w:t xml:space="preserve"> 2-3 </w:t>
      </w:r>
      <w:r w:rsidRPr="005447F7">
        <w:rPr>
          <w:rFonts w:eastAsia="標楷體"/>
          <w:color w:val="1F1F1F"/>
        </w:rPr>
        <w:t>種字體。可以混用一種標題字體（如粗黑體）與一種內文字體（如細黑體或圓體），但不宜過度花俏。</w:t>
      </w:r>
    </w:p>
    <w:p w14:paraId="1CB75229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4.3 </w:t>
      </w:r>
      <w:r w:rsidRPr="005447F7">
        <w:rPr>
          <w:rFonts w:eastAsia="標楷體"/>
          <w:color w:val="1F1F1F"/>
        </w:rPr>
        <w:t>「</w:t>
      </w:r>
      <w:r w:rsidRPr="005447F7">
        <w:rPr>
          <w:rFonts w:eastAsia="標楷體"/>
          <w:color w:val="1F1F1F"/>
        </w:rPr>
        <w:t>Better Poster</w:t>
      </w:r>
      <w:r w:rsidRPr="005447F7">
        <w:rPr>
          <w:rFonts w:eastAsia="標楷體"/>
          <w:color w:val="1F1F1F"/>
        </w:rPr>
        <w:t>」運動與傳統佈局的融合</w:t>
      </w:r>
    </w:p>
    <w:p w14:paraId="3FD7AC43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近年來，學術界興起了一股「</w:t>
      </w:r>
      <w:r w:rsidRPr="005447F7">
        <w:rPr>
          <w:rFonts w:eastAsia="標楷體"/>
          <w:color w:val="1F1F1F"/>
        </w:rPr>
        <w:t>Better Poster</w:t>
      </w:r>
      <w:r w:rsidRPr="005447F7">
        <w:rPr>
          <w:rFonts w:eastAsia="標楷體"/>
          <w:color w:val="1F1F1F"/>
        </w:rPr>
        <w:t>」改革風潮，由</w:t>
      </w:r>
      <w:r w:rsidRPr="005447F7">
        <w:rPr>
          <w:rFonts w:eastAsia="標楷體"/>
          <w:color w:val="1F1F1F"/>
        </w:rPr>
        <w:t xml:space="preserve"> Mike Morrison </w:t>
      </w:r>
      <w:r w:rsidRPr="005447F7">
        <w:rPr>
          <w:rFonts w:eastAsia="標楷體"/>
          <w:color w:val="1F1F1F"/>
        </w:rPr>
        <w:t>提出。其核心理念是將海報中央區域留給一句「超大字體的白話結論」，將詳細數據推至兩側，以最大化資訊傳遞效率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3</w:t>
      </w:r>
      <w:r w:rsidRPr="005447F7">
        <w:rPr>
          <w:rFonts w:eastAsia="標楷體"/>
          <w:color w:val="1F1F1F"/>
        </w:rPr>
        <w:t>。</w:t>
      </w:r>
    </w:p>
    <w:p w14:paraId="4FF8571D" w14:textId="77777777" w:rsidR="00C65D59" w:rsidRPr="005447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優點：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極度吸睛，能在數秒內傳達核心發現，適合人流眾多的大型研討會。</w:t>
      </w:r>
    </w:p>
    <w:p w14:paraId="0532C609" w14:textId="49DEE07C" w:rsidR="00C65D59" w:rsidRPr="005447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缺點：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對於傳統科展評審而言，可能顯得資訊量不足或不夠正式。評審往往需要依照評分表檢查各個環節（動機、方法、結果等）是否完整。</w:t>
      </w:r>
    </w:p>
    <w:p w14:paraId="07E3FA39" w14:textId="77777777" w:rsidR="00C65D59" w:rsidRPr="005447F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臺灣科展的折衷策略：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建議採取「混合式佈局」。保留傳統的三欄式架構與必要的章節標題（以符合評分結構），但在中間展板的視覺設計上引入</w:t>
      </w:r>
      <w:r w:rsidRPr="005447F7">
        <w:rPr>
          <w:rFonts w:eastAsia="標楷體"/>
          <w:color w:val="1F1F1F"/>
        </w:rPr>
        <w:t xml:space="preserve"> Better Poster </w:t>
      </w:r>
      <w:r w:rsidRPr="005447F7">
        <w:rPr>
          <w:rFonts w:eastAsia="標楷體"/>
          <w:color w:val="1F1F1F"/>
        </w:rPr>
        <w:t>的精神</w:t>
      </w:r>
      <w:r w:rsidRPr="005447F7">
        <w:rPr>
          <w:rFonts w:eastAsia="標楷體"/>
          <w:color w:val="1F1F1F"/>
        </w:rPr>
        <w:t>——</w:t>
      </w:r>
      <w:r w:rsidRPr="005447F7">
        <w:rPr>
          <w:rFonts w:eastAsia="標楷體"/>
          <w:color w:val="1F1F1F"/>
        </w:rPr>
        <w:t>使用醒目的圖解摘要（</w:t>
      </w:r>
      <w:r w:rsidRPr="005447F7">
        <w:rPr>
          <w:rFonts w:eastAsia="標楷體"/>
          <w:color w:val="1F1F1F"/>
        </w:rPr>
        <w:t>Graphical Abstract</w:t>
      </w:r>
      <w:r w:rsidRPr="005447F7">
        <w:rPr>
          <w:rFonts w:eastAsia="標楷體"/>
          <w:color w:val="1F1F1F"/>
        </w:rPr>
        <w:t>）或關鍵結論作為視覺焦點，而非密密麻麻的文字。</w:t>
      </w:r>
    </w:p>
    <w:p w14:paraId="500323F7" w14:textId="77777777" w:rsidR="00C65D59" w:rsidRPr="005447F7" w:rsidRDefault="00000000">
      <w:pPr>
        <w:pStyle w:val="2"/>
        <w:spacing w:before="24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5. </w:t>
      </w:r>
      <w:r w:rsidRPr="005447F7">
        <w:rPr>
          <w:rFonts w:eastAsia="標楷體"/>
          <w:color w:val="1F1F1F"/>
        </w:rPr>
        <w:t>配色美學與色彩策略</w:t>
      </w:r>
    </w:p>
    <w:p w14:paraId="23878A9B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色彩是引導視線與建立氛圍的強力工具，但使用不當也會成為災難。</w:t>
      </w:r>
    </w:p>
    <w:p w14:paraId="21DD27EA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5.1 60-30-10 </w:t>
      </w:r>
      <w:r w:rsidRPr="005447F7">
        <w:rPr>
          <w:rFonts w:eastAsia="標楷體"/>
          <w:color w:val="1F1F1F"/>
        </w:rPr>
        <w:t>配色法則</w:t>
      </w:r>
    </w:p>
    <w:p w14:paraId="3C50FA0D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這是一個源自室內設計的黃金比例，同樣適用於海報設計：</w:t>
      </w:r>
    </w:p>
    <w:p w14:paraId="0995877D" w14:textId="28E07251" w:rsidR="00C65D59" w:rsidRPr="005447F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 xml:space="preserve">60% </w:t>
      </w:r>
      <w:r w:rsidRPr="005447F7">
        <w:rPr>
          <w:rFonts w:eastAsia="標楷體"/>
          <w:b/>
          <w:bCs/>
          <w:color w:val="1F1F1F"/>
        </w:rPr>
        <w:t>主色（</w:t>
      </w:r>
      <w:r w:rsidRPr="005447F7">
        <w:rPr>
          <w:rFonts w:eastAsia="標楷體"/>
          <w:b/>
          <w:bCs/>
          <w:color w:val="1F1F1F"/>
        </w:rPr>
        <w:t>Primary Color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通常是背景色。建議使用</w:t>
      </w:r>
      <w:r w:rsidRPr="005447F7">
        <w:rPr>
          <w:rFonts w:eastAsia="標楷體"/>
          <w:b/>
          <w:bCs/>
          <w:color w:val="1F1F1F"/>
        </w:rPr>
        <w:t>淺色系</w:t>
      </w:r>
      <w:r w:rsidRPr="005447F7">
        <w:rPr>
          <w:rFonts w:eastAsia="標楷體"/>
          <w:color w:val="1F1F1F"/>
        </w:rPr>
        <w:t>（如白、淺灰、米白）作為背景，這樣文字最易讀，且印刷成本較低，不易產生色差。雖然深色背景（如深藍、黑）極具視覺衝擊力，但印刷難度高（容易有墨痕），且閱讀淺色文字較易疲勞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37</w:t>
      </w:r>
      <w:r w:rsidRPr="005447F7">
        <w:rPr>
          <w:rFonts w:eastAsia="標楷體"/>
          <w:color w:val="1F1F1F"/>
        </w:rPr>
        <w:t>。</w:t>
      </w:r>
    </w:p>
    <w:p w14:paraId="487B73D1" w14:textId="6D3F7F38" w:rsidR="00C65D59" w:rsidRPr="005447F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 xml:space="preserve">30% </w:t>
      </w:r>
      <w:r w:rsidRPr="005447F7">
        <w:rPr>
          <w:rFonts w:eastAsia="標楷體"/>
          <w:b/>
          <w:bCs/>
          <w:color w:val="1F1F1F"/>
        </w:rPr>
        <w:t>輔助色（</w:t>
      </w:r>
      <w:r w:rsidRPr="005447F7">
        <w:rPr>
          <w:rFonts w:eastAsia="標楷體"/>
          <w:b/>
          <w:bCs/>
          <w:color w:val="1F1F1F"/>
        </w:rPr>
        <w:t>Secondary Color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用於區塊背景、標題列或邊框。建議選擇與學校代表色或研究主題相關的顏色（例如：生物科用綠色系、海洋科用藍色系、物理科用冷灰色系）。</w:t>
      </w:r>
    </w:p>
    <w:p w14:paraId="4316F59D" w14:textId="4ED70B0E" w:rsidR="00C65D59" w:rsidRPr="005447F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lastRenderedPageBreak/>
        <w:t xml:space="preserve">10% </w:t>
      </w:r>
      <w:r w:rsidRPr="005447F7">
        <w:rPr>
          <w:rFonts w:eastAsia="標楷體"/>
          <w:b/>
          <w:bCs/>
          <w:color w:val="1F1F1F"/>
        </w:rPr>
        <w:t>強調色（</w:t>
      </w:r>
      <w:r w:rsidRPr="005447F7">
        <w:rPr>
          <w:rFonts w:eastAsia="標楷體"/>
          <w:b/>
          <w:bCs/>
          <w:color w:val="1F1F1F"/>
        </w:rPr>
        <w:t>Accent Color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用於強調關鍵數據、箭頭、結論框或圖表中的重要趨勢線。應選擇與主色、輔助色形成對比的顏色（例如：藍色系海報配上亮橘色或金黃色作為強調）。</w:t>
      </w:r>
    </w:p>
    <w:p w14:paraId="62D955F5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5.2 2025 </w:t>
      </w:r>
      <w:r w:rsidRPr="005447F7">
        <w:rPr>
          <w:rFonts w:eastAsia="標楷體"/>
          <w:color w:val="1F1F1F"/>
        </w:rPr>
        <w:t>年設計色彩趨勢</w:t>
      </w:r>
    </w:p>
    <w:p w14:paraId="46C3949C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根據最新的設計趨勢預測，</w:t>
      </w:r>
      <w:r w:rsidRPr="005447F7">
        <w:rPr>
          <w:rFonts w:eastAsia="標楷體"/>
          <w:color w:val="1F1F1F"/>
        </w:rPr>
        <w:t xml:space="preserve">2025 </w:t>
      </w:r>
      <w:r w:rsidRPr="005447F7">
        <w:rPr>
          <w:rFonts w:eastAsia="標楷體"/>
          <w:color w:val="1F1F1F"/>
        </w:rPr>
        <w:t>年的視覺風格將呈現兩極化但並存的現象：</w:t>
      </w:r>
    </w:p>
    <w:p w14:paraId="58290122" w14:textId="194A3EBF" w:rsidR="00C65D59" w:rsidRPr="005447F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大地色系與自然主義（</w:t>
      </w:r>
      <w:r w:rsidRPr="005447F7">
        <w:rPr>
          <w:rFonts w:eastAsia="標楷體"/>
          <w:b/>
          <w:bCs/>
          <w:color w:val="1F1F1F"/>
        </w:rPr>
        <w:t>New Naturalism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柔和的綠色、陶土色、米色等「奶油粉彩（</w:t>
      </w:r>
      <w:r w:rsidRPr="005447F7">
        <w:rPr>
          <w:rFonts w:eastAsia="標楷體"/>
          <w:color w:val="1F1F1F"/>
        </w:rPr>
        <w:t>Creamy Pastels</w:t>
      </w:r>
      <w:r w:rsidRPr="005447F7">
        <w:rPr>
          <w:rFonts w:eastAsia="標楷體"/>
          <w:color w:val="1F1F1F"/>
        </w:rPr>
        <w:t>）」將大行其道，這類色彩給人冷靜、客觀且舒適的感覺，非常適合環境科學、生物學等領域。</w:t>
      </w:r>
    </w:p>
    <w:p w14:paraId="381D54BC" w14:textId="158CF341" w:rsidR="00C65D59" w:rsidRPr="005447F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大膽極簡主義（</w:t>
      </w:r>
      <w:r w:rsidRPr="005447F7">
        <w:rPr>
          <w:rFonts w:eastAsia="標楷體"/>
          <w:b/>
          <w:bCs/>
          <w:color w:val="1F1F1F"/>
        </w:rPr>
        <w:t>Bold Minimalism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高飽和度的色彩（如電光藍、酸性綠）搭配大量的留白與粗體字，適合工程、資訊科技類的作品，展現前衛與科技感。</w:t>
      </w:r>
    </w:p>
    <w:p w14:paraId="584892E7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5.3 </w:t>
      </w:r>
      <w:r w:rsidRPr="005447F7">
        <w:rPr>
          <w:rFonts w:eastAsia="標楷體"/>
          <w:color w:val="1F1F1F"/>
        </w:rPr>
        <w:t>色彩通用設計（</w:t>
      </w:r>
      <w:r w:rsidRPr="005447F7">
        <w:rPr>
          <w:rFonts w:eastAsia="標楷體"/>
          <w:color w:val="1F1F1F"/>
        </w:rPr>
        <w:t>Accessibility</w:t>
      </w:r>
      <w:r w:rsidRPr="005447F7">
        <w:rPr>
          <w:rFonts w:eastAsia="標楷體"/>
          <w:color w:val="1F1F1F"/>
        </w:rPr>
        <w:t>）</w:t>
      </w:r>
    </w:p>
    <w:p w14:paraId="73388341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約有</w:t>
      </w:r>
      <w:r w:rsidRPr="005447F7">
        <w:rPr>
          <w:rFonts w:eastAsia="標楷體"/>
          <w:color w:val="1F1F1F"/>
        </w:rPr>
        <w:t xml:space="preserve"> 8% </w:t>
      </w:r>
      <w:r w:rsidRPr="005447F7">
        <w:rPr>
          <w:rFonts w:eastAsia="標楷體"/>
          <w:color w:val="1F1F1F"/>
        </w:rPr>
        <w:t>的男性患有色盲（最常見為紅綠色盲）。如果你的圖表僅依賴紅色與綠色來區分數據，這些評審將無法閱讀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38</w:t>
      </w:r>
      <w:r w:rsidRPr="005447F7">
        <w:rPr>
          <w:rFonts w:eastAsia="標楷體"/>
          <w:color w:val="1F1F1F"/>
        </w:rPr>
        <w:t>。</w:t>
      </w:r>
    </w:p>
    <w:p w14:paraId="5A103E90" w14:textId="77777777" w:rsidR="00C65D59" w:rsidRPr="005447F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禁忌：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避免同時使用紅與綠作為對比色。避免使用彩虹色階（</w:t>
      </w:r>
      <w:r w:rsidRPr="005447F7">
        <w:rPr>
          <w:rFonts w:eastAsia="標楷體"/>
          <w:color w:val="1F1F1F"/>
        </w:rPr>
        <w:t>Rainbow colormap</w:t>
      </w:r>
      <w:r w:rsidRPr="005447F7">
        <w:rPr>
          <w:rFonts w:eastAsia="標楷體"/>
          <w:color w:val="1F1F1F"/>
        </w:rPr>
        <w:t>），因為它在明度上缺乏規律。</w:t>
      </w:r>
    </w:p>
    <w:p w14:paraId="3C3CEE02" w14:textId="7C839430" w:rsidR="00C65D59" w:rsidRPr="005447F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建議：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使用「藍</w:t>
      </w:r>
      <w:r w:rsidRPr="005447F7">
        <w:rPr>
          <w:rFonts w:eastAsia="標楷體"/>
          <w:color w:val="1F1F1F"/>
        </w:rPr>
        <w:t>/</w:t>
      </w:r>
      <w:r w:rsidRPr="005447F7">
        <w:rPr>
          <w:rFonts w:eastAsia="標楷體"/>
          <w:color w:val="1F1F1F"/>
        </w:rPr>
        <w:t>橘」或「紫</w:t>
      </w:r>
      <w:r w:rsidRPr="005447F7">
        <w:rPr>
          <w:rFonts w:eastAsia="標楷體"/>
          <w:color w:val="1F1F1F"/>
        </w:rPr>
        <w:t>/</w:t>
      </w:r>
      <w:r w:rsidRPr="005447F7">
        <w:rPr>
          <w:rFonts w:eastAsia="標楷體"/>
          <w:color w:val="1F1F1F"/>
        </w:rPr>
        <w:t>綠」配色，這些組合對色盲友善。</w:t>
      </w:r>
    </w:p>
    <w:p w14:paraId="08839873" w14:textId="6CAC5CD9" w:rsidR="00C65D59" w:rsidRPr="005447F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雙重編碼（</w:t>
      </w:r>
      <w:r w:rsidRPr="005447F7">
        <w:rPr>
          <w:rFonts w:eastAsia="標楷體"/>
          <w:b/>
          <w:bCs/>
          <w:color w:val="1F1F1F"/>
        </w:rPr>
        <w:t>Double Encoding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在折線圖中，不要只靠顏色區分線條，應同時加上「形狀標記」（如圓形、三角形、方形端點）或線條樣式（實線、虛線），確保在黑白列印下仍可辨識。</w:t>
      </w:r>
    </w:p>
    <w:p w14:paraId="3B7C1F76" w14:textId="4A63FBC5" w:rsidR="00C65D59" w:rsidRPr="005447F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工具：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設計完成後，可使用線上工具如</w:t>
      </w:r>
      <w:r w:rsidRPr="005447F7">
        <w:rPr>
          <w:rFonts w:eastAsia="標楷體"/>
          <w:color w:val="1F1F1F"/>
        </w:rPr>
        <w:t xml:space="preserve"> "</w:t>
      </w:r>
      <w:proofErr w:type="spellStart"/>
      <w:r w:rsidRPr="005447F7">
        <w:rPr>
          <w:rFonts w:eastAsia="標楷體"/>
          <w:color w:val="1F1F1F"/>
        </w:rPr>
        <w:t>Coblis</w:t>
      </w:r>
      <w:proofErr w:type="spellEnd"/>
      <w:r w:rsidRPr="005447F7">
        <w:rPr>
          <w:rFonts w:eastAsia="標楷體"/>
          <w:color w:val="1F1F1F"/>
        </w:rPr>
        <w:t xml:space="preserve">" </w:t>
      </w:r>
      <w:r w:rsidRPr="005447F7">
        <w:rPr>
          <w:rFonts w:eastAsia="標楷體"/>
          <w:color w:val="1F1F1F"/>
        </w:rPr>
        <w:t>或</w:t>
      </w:r>
      <w:r w:rsidRPr="005447F7">
        <w:rPr>
          <w:rFonts w:eastAsia="標楷體"/>
          <w:color w:val="1F1F1F"/>
        </w:rPr>
        <w:t xml:space="preserve"> "Viz Palette" </w:t>
      </w:r>
      <w:r w:rsidRPr="005447F7">
        <w:rPr>
          <w:rFonts w:eastAsia="標楷體"/>
          <w:color w:val="1F1F1F"/>
        </w:rPr>
        <w:t>模擬色盲視角進行檢查。</w:t>
      </w:r>
    </w:p>
    <w:p w14:paraId="23CFC7BD" w14:textId="77777777" w:rsidR="00C65D59" w:rsidRPr="005447F7" w:rsidRDefault="00000000">
      <w:pPr>
        <w:pStyle w:val="2"/>
        <w:spacing w:before="24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6. </w:t>
      </w:r>
      <w:r w:rsidRPr="005447F7">
        <w:rPr>
          <w:rFonts w:eastAsia="標楷體"/>
          <w:color w:val="1F1F1F"/>
        </w:rPr>
        <w:t>內容工程與視覺化技巧</w:t>
      </w:r>
    </w:p>
    <w:p w14:paraId="752E5747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海報的內容撰寫必須遵循「少即是多」的原則，將文字轉化為視覺語言。</w:t>
      </w:r>
    </w:p>
    <w:p w14:paraId="0DD732C9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6.1 </w:t>
      </w:r>
      <w:r w:rsidRPr="005447F7">
        <w:rPr>
          <w:rFonts w:eastAsia="標楷體"/>
          <w:color w:val="1F1F1F"/>
        </w:rPr>
        <w:t>文字策略：條列化是必須</w:t>
      </w:r>
    </w:p>
    <w:p w14:paraId="13C40364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評審沒有時間閱讀段落文章。必須將長句轉化為條列式清單（</w:t>
      </w:r>
      <w:r w:rsidRPr="005447F7">
        <w:rPr>
          <w:rFonts w:eastAsia="標楷體"/>
          <w:color w:val="1F1F1F"/>
        </w:rPr>
        <w:t>Bullet Points</w:t>
      </w:r>
      <w:r w:rsidRPr="005447F7">
        <w:rPr>
          <w:rFonts w:eastAsia="標楷體"/>
          <w:color w:val="1F1F1F"/>
        </w:rPr>
        <w:t>）。</w:t>
      </w:r>
    </w:p>
    <w:p w14:paraId="61C2D9E9" w14:textId="77777777" w:rsidR="00C65D59" w:rsidRPr="005447F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範例轉化：</w:t>
      </w:r>
    </w:p>
    <w:p w14:paraId="0B2E9D89" w14:textId="77777777" w:rsidR="00C65D59" w:rsidRPr="005447F7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原句：</w:t>
      </w:r>
      <w:r w:rsidRPr="005447F7">
        <w:rPr>
          <w:rFonts w:eastAsia="標楷體"/>
          <w:color w:val="1F1F1F"/>
        </w:rPr>
        <w:t>「實驗結果顯示，在控制變因不變的情況下，我們觀察到加入催化劑後的反應速率有了顯著的提升，約為原本的三倍。」</w:t>
      </w:r>
    </w:p>
    <w:p w14:paraId="165E34BD" w14:textId="77777777" w:rsidR="00C65D59" w:rsidRPr="005447F7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修正：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「結果顯示：加入催化劑後，反應速率提升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3</w:t>
      </w:r>
      <w:r w:rsidRPr="005447F7">
        <w:rPr>
          <w:rFonts w:eastAsia="標楷體"/>
          <w:b/>
          <w:bCs/>
          <w:color w:val="1F1F1F"/>
        </w:rPr>
        <w:t>倍</w:t>
      </w:r>
      <w:r w:rsidRPr="005447F7">
        <w:rPr>
          <w:rFonts w:eastAsia="標楷體"/>
          <w:color w:val="1F1F1F"/>
        </w:rPr>
        <w:t>。」</w:t>
      </w:r>
    </w:p>
    <w:p w14:paraId="3719F154" w14:textId="77777777" w:rsidR="00C65D59" w:rsidRPr="005447F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字數控制：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整張海報的總字數建議控制在</w:t>
      </w:r>
      <w:r w:rsidRPr="005447F7">
        <w:rPr>
          <w:rFonts w:eastAsia="標楷體"/>
          <w:color w:val="1F1F1F"/>
        </w:rPr>
        <w:t xml:space="preserve"> 300 </w:t>
      </w:r>
      <w:r w:rsidRPr="005447F7">
        <w:rPr>
          <w:rFonts w:eastAsia="標楷體"/>
          <w:color w:val="1F1F1F"/>
        </w:rPr>
        <w:t>至</w:t>
      </w:r>
      <w:r w:rsidRPr="005447F7">
        <w:rPr>
          <w:rFonts w:eastAsia="標楷體"/>
          <w:color w:val="1F1F1F"/>
        </w:rPr>
        <w:t xml:space="preserve"> 800 </w:t>
      </w:r>
      <w:r w:rsidRPr="005447F7">
        <w:rPr>
          <w:rFonts w:eastAsia="標楷體"/>
          <w:color w:val="1F1F1F"/>
        </w:rPr>
        <w:t>字之間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5</w:t>
      </w:r>
      <w:r w:rsidRPr="005447F7">
        <w:rPr>
          <w:rFonts w:eastAsia="標楷體"/>
          <w:color w:val="1F1F1F"/>
        </w:rPr>
        <w:t>。詳細的推導過程或額外數據，應放在手邊的「實驗日誌」或「補充講義」中，而非海報上。</w:t>
      </w:r>
    </w:p>
    <w:p w14:paraId="794C05F8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6.2 </w:t>
      </w:r>
      <w:r w:rsidRPr="005447F7">
        <w:rPr>
          <w:rFonts w:eastAsia="標楷體"/>
          <w:color w:val="1F1F1F"/>
        </w:rPr>
        <w:t>數據視覺化優於表格</w:t>
      </w:r>
    </w:p>
    <w:p w14:paraId="748DEEDB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lastRenderedPageBreak/>
        <w:t>人類大腦處理圖像的速度比處理文字快</w:t>
      </w:r>
      <w:r w:rsidRPr="005447F7">
        <w:rPr>
          <w:rFonts w:eastAsia="標楷體"/>
          <w:color w:val="1F1F1F"/>
        </w:rPr>
        <w:t xml:space="preserve"> 6 </w:t>
      </w:r>
      <w:r w:rsidRPr="005447F7">
        <w:rPr>
          <w:rFonts w:eastAsia="標楷體"/>
          <w:color w:val="1F1F1F"/>
        </w:rPr>
        <w:t>萬倍。</w:t>
      </w:r>
    </w:p>
    <w:p w14:paraId="041139D4" w14:textId="40EB8325" w:rsidR="00C65D59" w:rsidRPr="005447F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圖表優先：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除非是精確的參考數值，否則盡量將表格（</w:t>
      </w:r>
      <w:r w:rsidRPr="005447F7">
        <w:rPr>
          <w:rFonts w:eastAsia="標楷體"/>
          <w:color w:val="1F1F1F"/>
        </w:rPr>
        <w:t>Table</w:t>
      </w:r>
      <w:r w:rsidRPr="005447F7">
        <w:rPr>
          <w:rFonts w:eastAsia="標楷體"/>
          <w:color w:val="1F1F1F"/>
        </w:rPr>
        <w:t>）轉化為圖表（</w:t>
      </w:r>
      <w:r w:rsidRPr="005447F7">
        <w:rPr>
          <w:rFonts w:eastAsia="標楷體"/>
          <w:color w:val="1F1F1F"/>
        </w:rPr>
        <w:t>Chart</w:t>
      </w:r>
      <w:r w:rsidRPr="005447F7">
        <w:rPr>
          <w:rFonts w:eastAsia="標楷體"/>
          <w:color w:val="1F1F1F"/>
        </w:rPr>
        <w:t>）。長條圖適合比較，折線圖適合展示趨勢，散布圖適合呈現相關性。</w:t>
      </w:r>
    </w:p>
    <w:p w14:paraId="23E42DA5" w14:textId="7E9A699A" w:rsidR="00C65D59" w:rsidRPr="005447F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流程圖解：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「研究方法」部分應繪製流程圖（</w:t>
      </w:r>
      <w:r w:rsidRPr="005447F7">
        <w:rPr>
          <w:rFonts w:eastAsia="標楷體"/>
          <w:color w:val="1F1F1F"/>
        </w:rPr>
        <w:t>Flowchart</w:t>
      </w:r>
      <w:r w:rsidRPr="005447F7">
        <w:rPr>
          <w:rFonts w:eastAsia="標楷體"/>
          <w:color w:val="1F1F1F"/>
        </w:rPr>
        <w:t>）或使用實驗裝置的實拍照片</w:t>
      </w:r>
      <w:r w:rsidRPr="005447F7">
        <w:rPr>
          <w:rFonts w:eastAsia="標楷體"/>
          <w:color w:val="1F1F1F"/>
        </w:rPr>
        <w:t>/</w:t>
      </w:r>
      <w:r w:rsidRPr="005447F7">
        <w:rPr>
          <w:rFonts w:eastAsia="標楷體"/>
          <w:color w:val="1F1F1F"/>
        </w:rPr>
        <w:t>示意圖，避免純文字描述步驟。</w:t>
      </w:r>
    </w:p>
    <w:p w14:paraId="03B7CC31" w14:textId="5776AB67" w:rsidR="00C65D59" w:rsidRPr="005447F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解析度要求：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所有點陣圖（如照片）的解析度至少需達到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150-300 DPI</w:t>
      </w:r>
      <w:r w:rsidRPr="005447F7">
        <w:rPr>
          <w:rFonts w:eastAsia="標楷體"/>
          <w:color w:val="1F1F1F"/>
        </w:rPr>
        <w:t>（原寸列印大小）。模糊的馬賽克圖片是專業度的大忌。向量圖（</w:t>
      </w:r>
      <w:r w:rsidRPr="005447F7">
        <w:rPr>
          <w:rFonts w:eastAsia="標楷體"/>
          <w:color w:val="1F1F1F"/>
        </w:rPr>
        <w:t>Vector</w:t>
      </w:r>
      <w:r w:rsidRPr="005447F7">
        <w:rPr>
          <w:rFonts w:eastAsia="標楷體"/>
          <w:color w:val="1F1F1F"/>
        </w:rPr>
        <w:t>，如</w:t>
      </w:r>
      <w:r w:rsidRPr="005447F7">
        <w:rPr>
          <w:rFonts w:eastAsia="標楷體"/>
          <w:color w:val="1F1F1F"/>
        </w:rPr>
        <w:t xml:space="preserve"> SVG, EPS </w:t>
      </w:r>
      <w:r w:rsidRPr="005447F7">
        <w:rPr>
          <w:rFonts w:eastAsia="標楷體"/>
          <w:color w:val="1F1F1F"/>
        </w:rPr>
        <w:t>格式）是最佳選擇，因為它們可以無限放大而不失真。</w:t>
      </w:r>
    </w:p>
    <w:p w14:paraId="3D211E96" w14:textId="77777777" w:rsidR="00C65D59" w:rsidRPr="005447F7" w:rsidRDefault="00000000">
      <w:pPr>
        <w:pStyle w:val="2"/>
        <w:spacing w:before="24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7. </w:t>
      </w:r>
      <w:r w:rsidRPr="005447F7">
        <w:rPr>
          <w:rFonts w:eastAsia="標楷體"/>
          <w:color w:val="1F1F1F"/>
        </w:rPr>
        <w:t>軟體工具與製作實務</w:t>
      </w:r>
    </w:p>
    <w:p w14:paraId="3A9F2F78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7.1 </w:t>
      </w:r>
      <w:r w:rsidRPr="005447F7">
        <w:rPr>
          <w:rFonts w:eastAsia="標楷體"/>
          <w:color w:val="1F1F1F"/>
        </w:rPr>
        <w:t>製作軟體選擇</w:t>
      </w:r>
    </w:p>
    <w:p w14:paraId="07ECD34F" w14:textId="77777777" w:rsidR="00C65D59" w:rsidRPr="005447F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Microsoft PowerPoint</w:t>
      </w:r>
      <w:r w:rsidRPr="005447F7">
        <w:rPr>
          <w:rFonts w:eastAsia="標楷體"/>
          <w:b/>
          <w:bCs/>
          <w:color w:val="1F1F1F"/>
        </w:rPr>
        <w:t>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最普及且易上手的工具。</w:t>
      </w:r>
    </w:p>
    <w:p w14:paraId="23732078" w14:textId="77777777" w:rsidR="00C65D59" w:rsidRPr="005447F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設定技巧：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務必在開始設計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之前</w:t>
      </w:r>
      <w:r w:rsidRPr="005447F7">
        <w:rPr>
          <w:rFonts w:eastAsia="標楷體"/>
          <w:color w:val="1F1F1F"/>
        </w:rPr>
        <w:t>，先到「設計」</w:t>
      </w:r>
      <w:r w:rsidRPr="005447F7">
        <w:rPr>
          <w:rFonts w:eastAsia="標楷體"/>
          <w:color w:val="1F1F1F"/>
        </w:rPr>
        <w:t>&gt;</w:t>
      </w:r>
      <w:r w:rsidRPr="005447F7">
        <w:rPr>
          <w:rFonts w:eastAsia="標楷體"/>
          <w:color w:val="1F1F1F"/>
        </w:rPr>
        <w:t>「投影片大小」</w:t>
      </w:r>
      <w:r w:rsidRPr="005447F7">
        <w:rPr>
          <w:rFonts w:eastAsia="標楷體"/>
          <w:color w:val="1F1F1F"/>
        </w:rPr>
        <w:t>&gt;</w:t>
      </w:r>
      <w:r w:rsidRPr="005447F7">
        <w:rPr>
          <w:rFonts w:eastAsia="標楷體"/>
          <w:color w:val="1F1F1F"/>
        </w:rPr>
        <w:t>「自訂投影片大小」，設定為海報的實際尺寸（如</w:t>
      </w:r>
      <w:r w:rsidRPr="005447F7">
        <w:rPr>
          <w:rFonts w:eastAsia="標楷體"/>
          <w:color w:val="1F1F1F"/>
        </w:rPr>
        <w:t xml:space="preserve"> 84cm x 118.8cm</w:t>
      </w:r>
      <w:r w:rsidRPr="005447F7">
        <w:rPr>
          <w:rFonts w:eastAsia="標楷體"/>
          <w:color w:val="1F1F1F"/>
        </w:rPr>
        <w:t>）。切勿做完才放大，會導致圖片模糊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2</w:t>
      </w:r>
      <w:r w:rsidRPr="005447F7">
        <w:rPr>
          <w:rFonts w:eastAsia="標楷體"/>
          <w:color w:val="1F1F1F"/>
        </w:rPr>
        <w:t>。</w:t>
      </w:r>
    </w:p>
    <w:p w14:paraId="12B159DD" w14:textId="77777777" w:rsidR="00C65D59" w:rsidRPr="005447F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母片功能：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善用「投影片母片（</w:t>
      </w:r>
      <w:r w:rsidRPr="005447F7">
        <w:rPr>
          <w:rFonts w:eastAsia="標楷體"/>
          <w:color w:val="1F1F1F"/>
        </w:rPr>
        <w:t>Slide Master</w:t>
      </w:r>
      <w:r w:rsidRPr="005447F7">
        <w:rPr>
          <w:rFonts w:eastAsia="標楷體"/>
          <w:color w:val="1F1F1F"/>
        </w:rPr>
        <w:t>）」來設定統一的背景與標題樣式，確保風格一致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2</w:t>
      </w:r>
      <w:r w:rsidRPr="005447F7">
        <w:rPr>
          <w:rFonts w:eastAsia="標楷體"/>
          <w:color w:val="1F1F1F"/>
        </w:rPr>
        <w:t>。</w:t>
      </w:r>
    </w:p>
    <w:p w14:paraId="38D12497" w14:textId="77777777" w:rsidR="00C65D59" w:rsidRPr="005447F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Adobe Illustrator / Inkscape</w:t>
      </w:r>
      <w:r w:rsidRPr="005447F7">
        <w:rPr>
          <w:rFonts w:eastAsia="標楷體"/>
          <w:b/>
          <w:bCs/>
          <w:color w:val="1F1F1F"/>
        </w:rPr>
        <w:t>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專業級向量繪圖軟體。</w:t>
      </w:r>
    </w:p>
    <w:p w14:paraId="4A757C43" w14:textId="77777777" w:rsidR="00C65D59" w:rsidRPr="005447F7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優點：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排版精準，圖表與文字放大不失真，色彩管理（</w:t>
      </w:r>
      <w:r w:rsidRPr="005447F7">
        <w:rPr>
          <w:rFonts w:eastAsia="標楷體"/>
          <w:color w:val="1F1F1F"/>
        </w:rPr>
        <w:t>CMYK</w:t>
      </w:r>
      <w:r w:rsidRPr="005447F7">
        <w:rPr>
          <w:rFonts w:eastAsia="標楷體"/>
          <w:color w:val="1F1F1F"/>
        </w:rPr>
        <w:t>）專業。</w:t>
      </w:r>
    </w:p>
    <w:p w14:paraId="182CF427" w14:textId="77777777" w:rsidR="00C65D59" w:rsidRPr="005447F7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缺點：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學習曲線較陡峭。</w:t>
      </w:r>
      <w:r w:rsidRPr="005447F7">
        <w:rPr>
          <w:rFonts w:eastAsia="標楷體"/>
          <w:color w:val="1F1F1F"/>
        </w:rPr>
        <w:t xml:space="preserve">Inkscape </w:t>
      </w:r>
      <w:r w:rsidRPr="005447F7">
        <w:rPr>
          <w:rFonts w:eastAsia="標楷體"/>
          <w:color w:val="1F1F1F"/>
        </w:rPr>
        <w:t>是免費開源的替代品，功能強大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47</w:t>
      </w:r>
      <w:r w:rsidRPr="005447F7">
        <w:rPr>
          <w:rFonts w:eastAsia="標楷體"/>
          <w:color w:val="1F1F1F"/>
        </w:rPr>
        <w:t>。</w:t>
      </w:r>
    </w:p>
    <w:p w14:paraId="0F9F3F88" w14:textId="77777777" w:rsidR="00C65D59" w:rsidRPr="005447F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proofErr w:type="spellStart"/>
      <w:r w:rsidRPr="005447F7">
        <w:rPr>
          <w:rFonts w:eastAsia="標楷體"/>
          <w:b/>
          <w:bCs/>
          <w:color w:val="1F1F1F"/>
        </w:rPr>
        <w:t>BioRender</w:t>
      </w:r>
      <w:proofErr w:type="spellEnd"/>
      <w:r w:rsidRPr="005447F7">
        <w:rPr>
          <w:rFonts w:eastAsia="標楷體"/>
          <w:b/>
          <w:bCs/>
          <w:color w:val="1F1F1F"/>
        </w:rPr>
        <w:t xml:space="preserve"> / Canva</w:t>
      </w:r>
      <w:r w:rsidRPr="005447F7">
        <w:rPr>
          <w:rFonts w:eastAsia="標楷體"/>
          <w:b/>
          <w:bCs/>
          <w:color w:val="1F1F1F"/>
        </w:rPr>
        <w:t>：</w:t>
      </w:r>
    </w:p>
    <w:p w14:paraId="6B550332" w14:textId="77777777" w:rsidR="00C65D59" w:rsidRPr="005447F7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proofErr w:type="spellStart"/>
      <w:r w:rsidRPr="005447F7">
        <w:rPr>
          <w:rFonts w:eastAsia="標楷體"/>
          <w:i/>
          <w:iCs/>
          <w:color w:val="1F1F1F"/>
        </w:rPr>
        <w:t>BioRender</w:t>
      </w:r>
      <w:proofErr w:type="spellEnd"/>
      <w:r w:rsidRPr="005447F7">
        <w:rPr>
          <w:rFonts w:eastAsia="標楷體"/>
          <w:i/>
          <w:iCs/>
          <w:color w:val="1F1F1F"/>
        </w:rPr>
        <w:t>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生物醫學領域的神器，擁有大量專業且美觀的科學插圖素材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49</w:t>
      </w:r>
      <w:r w:rsidRPr="005447F7">
        <w:rPr>
          <w:rFonts w:eastAsia="標楷體"/>
          <w:color w:val="1F1F1F"/>
        </w:rPr>
        <w:t>。</w:t>
      </w:r>
    </w:p>
    <w:p w14:paraId="3768773F" w14:textId="3268788A" w:rsidR="00C65D59" w:rsidRPr="005447F7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Canva</w:t>
      </w:r>
      <w:r w:rsidRPr="005447F7">
        <w:rPr>
          <w:rFonts w:eastAsia="標楷體"/>
          <w:i/>
          <w:iCs/>
          <w:color w:val="1F1F1F"/>
        </w:rPr>
        <w:t>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擁有豐富的現代化模板，設計感強，但需注意匯出</w:t>
      </w:r>
      <w:r w:rsidRPr="005447F7">
        <w:rPr>
          <w:rFonts w:eastAsia="標楷體"/>
          <w:color w:val="1F1F1F"/>
        </w:rPr>
        <w:t xml:space="preserve"> PDF </w:t>
      </w:r>
      <w:r w:rsidRPr="005447F7">
        <w:rPr>
          <w:rFonts w:eastAsia="標楷體"/>
          <w:color w:val="1F1F1F"/>
        </w:rPr>
        <w:t>時要選擇「</w:t>
      </w:r>
      <w:r w:rsidRPr="005447F7">
        <w:rPr>
          <w:rFonts w:eastAsia="標楷體"/>
          <w:color w:val="1F1F1F"/>
        </w:rPr>
        <w:t xml:space="preserve">PDF </w:t>
      </w:r>
      <w:r w:rsidRPr="005447F7">
        <w:rPr>
          <w:rFonts w:eastAsia="標楷體"/>
          <w:color w:val="1F1F1F"/>
        </w:rPr>
        <w:t>列印（高品質）」選項，避免解析度不足。</w:t>
      </w:r>
    </w:p>
    <w:p w14:paraId="3DB37CE2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7.2 </w:t>
      </w:r>
      <w:r w:rsidRPr="005447F7">
        <w:rPr>
          <w:rFonts w:eastAsia="標楷體"/>
          <w:color w:val="1F1F1F"/>
        </w:rPr>
        <w:t>材質選擇：紙張</w:t>
      </w:r>
      <w:r w:rsidRPr="005447F7">
        <w:rPr>
          <w:rFonts w:eastAsia="標楷體"/>
          <w:color w:val="1F1F1F"/>
        </w:rPr>
        <w:t xml:space="preserve"> vs. </w:t>
      </w:r>
      <w:r w:rsidRPr="005447F7">
        <w:rPr>
          <w:rFonts w:eastAsia="標楷體"/>
          <w:color w:val="1F1F1F"/>
        </w:rPr>
        <w:t>布質</w:t>
      </w:r>
    </w:p>
    <w:p w14:paraId="29CAD181" w14:textId="77777777" w:rsidR="00C65D59" w:rsidRPr="005447F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相紙</w:t>
      </w:r>
      <w:r w:rsidRPr="005447F7">
        <w:rPr>
          <w:rFonts w:eastAsia="標楷體"/>
          <w:b/>
          <w:bCs/>
          <w:color w:val="1F1F1F"/>
        </w:rPr>
        <w:t>/</w:t>
      </w:r>
      <w:r w:rsidRPr="005447F7">
        <w:rPr>
          <w:rFonts w:eastAsia="標楷體"/>
          <w:b/>
          <w:bCs/>
          <w:color w:val="1F1F1F"/>
        </w:rPr>
        <w:t>海報紙（</w:t>
      </w:r>
      <w:r w:rsidRPr="005447F7">
        <w:rPr>
          <w:rFonts w:eastAsia="標楷體"/>
          <w:b/>
          <w:bCs/>
          <w:color w:val="1F1F1F"/>
        </w:rPr>
        <w:t>Paper</w:t>
      </w:r>
      <w:r w:rsidRPr="005447F7">
        <w:rPr>
          <w:rFonts w:eastAsia="標楷體"/>
          <w:b/>
          <w:bCs/>
          <w:color w:val="1F1F1F"/>
        </w:rPr>
        <w:t>）：</w:t>
      </w:r>
    </w:p>
    <w:p w14:paraId="64D40ED0" w14:textId="77777777" w:rsidR="00C65D59" w:rsidRPr="005447F7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優點：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解析度最高，色彩飽和銳利，價格相對低廉（在臺灣印刷方便）。</w:t>
      </w:r>
    </w:p>
    <w:p w14:paraId="3649304F" w14:textId="77777777" w:rsidR="00C65D59" w:rsidRPr="005447F7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缺點：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笨重，需使用海報筒攜帶，容易捲曲或折損。</w:t>
      </w:r>
    </w:p>
    <w:p w14:paraId="30CF0C02" w14:textId="675C5978" w:rsidR="00C65D59" w:rsidRPr="005447F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布質海報（</w:t>
      </w:r>
      <w:r w:rsidRPr="005447F7">
        <w:rPr>
          <w:rFonts w:eastAsia="標楷體"/>
          <w:b/>
          <w:bCs/>
          <w:color w:val="1F1F1F"/>
        </w:rPr>
        <w:t>Fabric/Polyester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這是近年國際會議的熱門選擇。</w:t>
      </w:r>
    </w:p>
    <w:p w14:paraId="120C833E" w14:textId="77777777" w:rsidR="00C65D59" w:rsidRPr="005447F7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優點：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可折疊放入行李箱，攜帶極便（特別是出國參加</w:t>
      </w:r>
      <w:r w:rsidRPr="005447F7">
        <w:rPr>
          <w:rFonts w:eastAsia="標楷體"/>
          <w:color w:val="1F1F1F"/>
        </w:rPr>
        <w:t xml:space="preserve"> ISEF</w:t>
      </w:r>
      <w:r w:rsidRPr="005447F7">
        <w:rPr>
          <w:rFonts w:eastAsia="標楷體"/>
          <w:color w:val="1F1F1F"/>
        </w:rPr>
        <w:t>），不易破損，可重複使用，無反光問題。</w:t>
      </w:r>
    </w:p>
    <w:p w14:paraId="0513A530" w14:textId="77777777" w:rsidR="00C65D59" w:rsidRPr="005447F7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缺點：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圖像銳利度略遜於相紙（墨水滲透），價格較高，通常需要較長的製作時間。</w:t>
      </w:r>
    </w:p>
    <w:p w14:paraId="5DB4D6BC" w14:textId="77777777" w:rsidR="00C65D59" w:rsidRPr="005447F7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建議：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全國科展（國內）建議使用高品質相紙配合展板黏貼；出國參賽（</w:t>
      </w:r>
      <w:r w:rsidRPr="005447F7">
        <w:rPr>
          <w:rFonts w:eastAsia="標楷體"/>
          <w:color w:val="1F1F1F"/>
        </w:rPr>
        <w:t>TISF/ISEF</w:t>
      </w:r>
      <w:r w:rsidRPr="005447F7">
        <w:rPr>
          <w:rFonts w:eastAsia="標楷體"/>
          <w:color w:val="1F1F1F"/>
        </w:rPr>
        <w:t>）強烈建議使用布質海報以解決物流問題。</w:t>
      </w:r>
    </w:p>
    <w:p w14:paraId="7D9EE241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7.3 </w:t>
      </w:r>
      <w:r w:rsidRPr="005447F7">
        <w:rPr>
          <w:rFonts w:eastAsia="標楷體"/>
          <w:color w:val="1F1F1F"/>
        </w:rPr>
        <w:t>黏貼與架設技巧（針對三折板）</w:t>
      </w:r>
    </w:p>
    <w:p w14:paraId="535AD066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lastRenderedPageBreak/>
        <w:t>在全國科展現場，經常需要將輸出的海報黏貼到大會提供的展板上。</w:t>
      </w:r>
    </w:p>
    <w:p w14:paraId="5DF9AB66" w14:textId="77777777" w:rsidR="00C65D59" w:rsidRPr="005447F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分塊輸出</w:t>
      </w:r>
      <w:r w:rsidRPr="005447F7">
        <w:rPr>
          <w:rFonts w:eastAsia="標楷體"/>
          <w:b/>
          <w:bCs/>
          <w:color w:val="1F1F1F"/>
        </w:rPr>
        <w:t xml:space="preserve"> vs. </w:t>
      </w:r>
      <w:r w:rsidRPr="005447F7">
        <w:rPr>
          <w:rFonts w:eastAsia="標楷體"/>
          <w:b/>
          <w:bCs/>
          <w:color w:val="1F1F1F"/>
        </w:rPr>
        <w:t>全版輸出：</w:t>
      </w:r>
    </w:p>
    <w:p w14:paraId="4E3159CC" w14:textId="77777777" w:rsidR="00C65D59" w:rsidRPr="005447F7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全版輸出：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將海報直接設計成符合展板尺寸的大圖（需精準測量轉折處），視覺整體感最強，但黏貼難度高，容易貼歪或產生氣泡。</w:t>
      </w:r>
    </w:p>
    <w:p w14:paraId="564EB69B" w14:textId="1134CD77" w:rsidR="00C65D59" w:rsidRPr="005447F7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i/>
          <w:iCs/>
          <w:color w:val="1F1F1F"/>
        </w:rPr>
        <w:t>分塊輸出：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依照標題、圖表切割成多個</w:t>
      </w:r>
      <w:r w:rsidRPr="005447F7">
        <w:rPr>
          <w:rFonts w:eastAsia="標楷體"/>
          <w:color w:val="1F1F1F"/>
        </w:rPr>
        <w:t xml:space="preserve"> A4 </w:t>
      </w:r>
      <w:r w:rsidRPr="005447F7">
        <w:rPr>
          <w:rFonts w:eastAsia="標楷體"/>
          <w:color w:val="1F1F1F"/>
        </w:rPr>
        <w:t>或</w:t>
      </w:r>
      <w:r w:rsidRPr="005447F7">
        <w:rPr>
          <w:rFonts w:eastAsia="標楷體"/>
          <w:color w:val="1F1F1F"/>
        </w:rPr>
        <w:t xml:space="preserve"> A3 </w:t>
      </w:r>
      <w:r w:rsidRPr="005447F7">
        <w:rPr>
          <w:rFonts w:eastAsia="標楷體"/>
          <w:color w:val="1F1F1F"/>
        </w:rPr>
        <w:t>區塊（</w:t>
      </w:r>
      <w:r w:rsidRPr="005447F7">
        <w:rPr>
          <w:rFonts w:eastAsia="標楷體"/>
          <w:color w:val="1F1F1F"/>
        </w:rPr>
        <w:t>Tiles</w:t>
      </w:r>
      <w:r w:rsidRPr="005447F7">
        <w:rPr>
          <w:rFonts w:eastAsia="標楷體"/>
          <w:color w:val="1F1F1F"/>
        </w:rPr>
        <w:t>），或按左中右三欄輸出長條。這種方式容錯率高，且容易更換錯誤的區塊，是較保險的做法。</w:t>
      </w:r>
    </w:p>
    <w:p w14:paraId="24C04DCC" w14:textId="77777777" w:rsidR="00C65D59" w:rsidRPr="005447F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黏著劑選擇：</w:t>
      </w:r>
    </w:p>
    <w:p w14:paraId="00755DC2" w14:textId="0E0DFE0C" w:rsidR="00C65D59" w:rsidRPr="005447F7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雙面膠：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推薦使用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鹿頭牌（</w:t>
      </w:r>
      <w:r w:rsidRPr="005447F7">
        <w:rPr>
          <w:rFonts w:eastAsia="標楷體"/>
          <w:b/>
          <w:bCs/>
          <w:color w:val="1F1F1F"/>
        </w:rPr>
        <w:t>Deer Brand</w:t>
      </w:r>
      <w:r w:rsidRPr="005447F7">
        <w:rPr>
          <w:rFonts w:eastAsia="標楷體"/>
          <w:b/>
          <w:bCs/>
          <w:color w:val="1F1F1F"/>
        </w:rPr>
        <w:t>）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等高品質雙面膠，特別是標榜「不殘膠」或「萬黏」的款式。避免使用普通文具膠帶，容易脫落或發黃。</w:t>
      </w:r>
    </w:p>
    <w:p w14:paraId="319A9C5E" w14:textId="77777777" w:rsidR="00C65D59" w:rsidRPr="005447F7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噴膠（</w:t>
      </w:r>
      <w:r w:rsidRPr="005447F7">
        <w:rPr>
          <w:rFonts w:eastAsia="標楷體"/>
          <w:b/>
          <w:bCs/>
          <w:color w:val="1F1F1F"/>
        </w:rPr>
        <w:t>Spray Adhesive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如</w:t>
      </w:r>
      <w:r w:rsidRPr="005447F7">
        <w:rPr>
          <w:rFonts w:eastAsia="標楷體"/>
          <w:color w:val="1F1F1F"/>
        </w:rPr>
        <w:t xml:space="preserve"> 3M 77 </w:t>
      </w:r>
      <w:r w:rsidRPr="005447F7">
        <w:rPr>
          <w:rFonts w:eastAsia="標楷體"/>
          <w:color w:val="1F1F1F"/>
        </w:rPr>
        <w:t>噴膠。優點是平整度極佳，不會有膠帶痕跡，但需要在通風處操作，且一旦黏上很難撕下重貼（</w:t>
      </w:r>
      <w:r w:rsidRPr="005447F7">
        <w:rPr>
          <w:rFonts w:eastAsia="標楷體"/>
          <w:color w:val="1F1F1F"/>
        </w:rPr>
        <w:t>Unforgiving</w:t>
      </w:r>
      <w:r w:rsidRPr="005447F7">
        <w:rPr>
          <w:rFonts w:eastAsia="標楷體"/>
          <w:color w:val="1F1F1F"/>
        </w:rPr>
        <w:t>）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444746"/>
          <w:sz w:val="24"/>
          <w:szCs w:val="24"/>
          <w:vertAlign w:val="superscript"/>
        </w:rPr>
        <w:t>57</w:t>
      </w:r>
      <w:r w:rsidRPr="005447F7">
        <w:rPr>
          <w:rFonts w:eastAsia="標楷體"/>
          <w:color w:val="1F1F1F"/>
        </w:rPr>
        <w:t>。</w:t>
      </w:r>
    </w:p>
    <w:p w14:paraId="136D812B" w14:textId="77777777" w:rsidR="00C65D59" w:rsidRPr="005447F7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魔鬼氈（</w:t>
      </w:r>
      <w:r w:rsidRPr="005447F7">
        <w:rPr>
          <w:rFonts w:eastAsia="標楷體"/>
          <w:b/>
          <w:bCs/>
          <w:color w:val="1F1F1F"/>
        </w:rPr>
        <w:t>Velcro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適合需重複使用的展板，或黏貼輕量立體模型。</w:t>
      </w:r>
    </w:p>
    <w:p w14:paraId="6B010461" w14:textId="77777777" w:rsidR="00C65D59" w:rsidRPr="005447F7" w:rsidRDefault="00000000">
      <w:pPr>
        <w:pStyle w:val="2"/>
        <w:spacing w:before="24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8. </w:t>
      </w:r>
      <w:r w:rsidRPr="005447F7">
        <w:rPr>
          <w:rFonts w:eastAsia="標楷體"/>
          <w:color w:val="1F1F1F"/>
        </w:rPr>
        <w:t>現場演示與互動策略</w:t>
      </w:r>
    </w:p>
    <w:p w14:paraId="2111F6D0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海報再完美，如果解說者無法有效溝通，依然無法獲獎。海報是死物，人是靈魂。</w:t>
      </w:r>
    </w:p>
    <w:p w14:paraId="49364521" w14:textId="77777777" w:rsidR="00C65D59" w:rsidRPr="005447F7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8.1 </w:t>
      </w:r>
      <w:r w:rsidRPr="005447F7">
        <w:rPr>
          <w:rFonts w:eastAsia="標楷體"/>
          <w:color w:val="1F1F1F"/>
        </w:rPr>
        <w:t>「電梯簡報（</w:t>
      </w:r>
      <w:r w:rsidRPr="005447F7">
        <w:rPr>
          <w:rFonts w:eastAsia="標楷體"/>
          <w:color w:val="1F1F1F"/>
        </w:rPr>
        <w:t>Elevator Pitch</w:t>
      </w:r>
      <w:r w:rsidRPr="005447F7">
        <w:rPr>
          <w:rFonts w:eastAsia="標楷體"/>
          <w:color w:val="1F1F1F"/>
        </w:rPr>
        <w:t>）」的準備</w:t>
      </w:r>
    </w:p>
    <w:p w14:paraId="4206EC56" w14:textId="76D028C6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評審可能會問：「請簡介你的作品。」你需要準備一套熟記於心的</w:t>
      </w:r>
      <w:r w:rsidRPr="005447F7">
        <w:rPr>
          <w:rFonts w:eastAsia="標楷體"/>
          <w:color w:val="1F1F1F"/>
        </w:rPr>
        <w:t xml:space="preserve"> 1 </w:t>
      </w:r>
      <w:r w:rsidRPr="005447F7">
        <w:rPr>
          <w:rFonts w:eastAsia="標楷體"/>
          <w:color w:val="1F1F1F"/>
        </w:rPr>
        <w:t>分鐘開場白：</w:t>
      </w:r>
    </w:p>
    <w:p w14:paraId="1EA587EB" w14:textId="77777777" w:rsidR="00C65D59" w:rsidRPr="005447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問題（</w:t>
      </w:r>
      <w:r w:rsidRPr="005447F7">
        <w:rPr>
          <w:rFonts w:eastAsia="標楷體"/>
          <w:b/>
          <w:bCs/>
          <w:color w:val="1F1F1F"/>
        </w:rPr>
        <w:t>The Problem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這個研究解決了什麼痛點？</w:t>
      </w:r>
    </w:p>
    <w:p w14:paraId="4F5C12B2" w14:textId="77777777" w:rsidR="00C65D59" w:rsidRPr="005447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方法（</w:t>
      </w:r>
      <w:r w:rsidRPr="005447F7">
        <w:rPr>
          <w:rFonts w:eastAsia="標楷體"/>
          <w:b/>
          <w:bCs/>
          <w:color w:val="1F1F1F"/>
        </w:rPr>
        <w:t>The Solution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你做了什麼核心實驗？</w:t>
      </w:r>
    </w:p>
    <w:p w14:paraId="1A4605B7" w14:textId="77777777" w:rsidR="00C65D59" w:rsidRPr="005447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發現（</w:t>
      </w:r>
      <w:r w:rsidRPr="005447F7">
        <w:rPr>
          <w:rFonts w:eastAsia="標楷體"/>
          <w:b/>
          <w:bCs/>
          <w:color w:val="1F1F1F"/>
        </w:rPr>
        <w:t>The Result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最重要的數據是什麼？</w:t>
      </w:r>
    </w:p>
    <w:p w14:paraId="0B560929" w14:textId="77777777" w:rsidR="00C65D59" w:rsidRPr="005447F7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影響（</w:t>
      </w:r>
      <w:r w:rsidRPr="005447F7">
        <w:rPr>
          <w:rFonts w:eastAsia="標楷體"/>
          <w:b/>
          <w:bCs/>
          <w:color w:val="1F1F1F"/>
        </w:rPr>
        <w:t>The Impact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這有什麼意義？</w:t>
      </w:r>
    </w:p>
    <w:p w14:paraId="7EAA2EE6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8.2 </w:t>
      </w:r>
      <w:r w:rsidRPr="005447F7">
        <w:rPr>
          <w:rFonts w:eastAsia="標楷體"/>
          <w:color w:val="1F1F1F"/>
        </w:rPr>
        <w:t>肢體語言與互動</w:t>
      </w:r>
    </w:p>
    <w:p w14:paraId="61D638EB" w14:textId="77777777" w:rsidR="00C65D59" w:rsidRPr="005447F7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站位：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站在海報的側面，永遠不要背對評審，也不要擋住海報內容。保持開放的姿態。</w:t>
      </w:r>
    </w:p>
    <w:p w14:paraId="725289E0" w14:textId="1A297B1B" w:rsidR="00C65D59" w:rsidRPr="005447F7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引導（</w:t>
      </w:r>
      <w:r w:rsidRPr="005447F7">
        <w:rPr>
          <w:rFonts w:eastAsia="標楷體"/>
          <w:b/>
          <w:bCs/>
          <w:color w:val="1F1F1F"/>
        </w:rPr>
        <w:t>Pointing</w:t>
      </w:r>
      <w:r w:rsidRPr="005447F7">
        <w:rPr>
          <w:rFonts w:eastAsia="標楷體"/>
          <w:b/>
          <w:bCs/>
          <w:color w:val="1F1F1F"/>
        </w:rPr>
        <w:t>）：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說話時，用手掌（</w:t>
      </w:r>
      <w:r w:rsidRPr="005447F7">
        <w:rPr>
          <w:rFonts w:eastAsia="標楷體"/>
          <w:color w:val="1F1F1F"/>
        </w:rPr>
        <w:t>Open palm</w:t>
      </w:r>
      <w:r w:rsidRPr="005447F7">
        <w:rPr>
          <w:rFonts w:eastAsia="標楷體"/>
          <w:color w:val="1F1F1F"/>
        </w:rPr>
        <w:t>）或簡報筆明確指向海報上的圖表。「如圖三所示</w:t>
      </w:r>
      <w:r w:rsidRPr="005447F7">
        <w:rPr>
          <w:rFonts w:eastAsia="標楷體"/>
          <w:color w:val="1F1F1F"/>
        </w:rPr>
        <w:t>...</w:t>
      </w:r>
      <w:r w:rsidRPr="005447F7">
        <w:rPr>
          <w:rFonts w:eastAsia="標楷體"/>
          <w:color w:val="1F1F1F"/>
        </w:rPr>
        <w:t>」這能將評審的注意力聚焦到證據上。</w:t>
      </w:r>
    </w:p>
    <w:p w14:paraId="638055E7" w14:textId="77777777" w:rsidR="00C65D59" w:rsidRPr="005447F7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眼神接觸：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與評審保持眼神交流，展現自信、從容與禮貌。</w:t>
      </w:r>
    </w:p>
    <w:p w14:paraId="4D6C5E9A" w14:textId="77777777" w:rsidR="00C65D59" w:rsidRPr="005447F7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8.3 </w:t>
      </w:r>
      <w:r w:rsidRPr="005447F7">
        <w:rPr>
          <w:rFonts w:eastAsia="標楷體"/>
          <w:color w:val="1F1F1F"/>
        </w:rPr>
        <w:t>應對提問的策略</w:t>
      </w:r>
    </w:p>
    <w:p w14:paraId="5176120F" w14:textId="77777777" w:rsidR="00C65D59" w:rsidRPr="005447F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誠實為上：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如果遇到不會的問題，不要瞎掰。自信地回答：「這是一個非常好的問題，目前的實驗尚未涵蓋這部分，但我推測</w:t>
      </w:r>
      <w:r w:rsidRPr="005447F7">
        <w:rPr>
          <w:rFonts w:eastAsia="標楷體"/>
          <w:color w:val="1F1F1F"/>
        </w:rPr>
        <w:t>...</w:t>
      </w:r>
      <w:r w:rsidRPr="005447F7">
        <w:rPr>
          <w:rFonts w:eastAsia="標楷體"/>
          <w:color w:val="1F1F1F"/>
        </w:rPr>
        <w:t>」或「這將是我們未來的研究方向。」</w:t>
      </w:r>
    </w:p>
    <w:p w14:paraId="399FBAAB" w14:textId="77777777" w:rsidR="00C65D59" w:rsidRPr="005447F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b/>
          <w:bCs/>
          <w:color w:val="1F1F1F"/>
        </w:rPr>
        <w:t>善用海報：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回答問題時，盡量連結回海報上的數據。「關於這個問題，您可以參考表二的數據，我們發現</w:t>
      </w:r>
      <w:r w:rsidRPr="005447F7">
        <w:rPr>
          <w:rFonts w:eastAsia="標楷體"/>
          <w:color w:val="1F1F1F"/>
        </w:rPr>
        <w:t>...</w:t>
      </w:r>
      <w:r w:rsidRPr="005447F7">
        <w:rPr>
          <w:rFonts w:eastAsia="標楷體"/>
          <w:color w:val="1F1F1F"/>
        </w:rPr>
        <w:t>」讓海報成為你的論據庫。</w:t>
      </w:r>
    </w:p>
    <w:p w14:paraId="3FC8F735" w14:textId="77777777" w:rsidR="00C65D59" w:rsidRPr="005447F7" w:rsidRDefault="00000000">
      <w:pPr>
        <w:pStyle w:val="2"/>
        <w:spacing w:before="240" w:after="12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 xml:space="preserve">9. </w:t>
      </w:r>
      <w:r w:rsidRPr="005447F7">
        <w:rPr>
          <w:rFonts w:eastAsia="標楷體"/>
          <w:color w:val="1F1F1F"/>
        </w:rPr>
        <w:t>結論</w:t>
      </w:r>
    </w:p>
    <w:p w14:paraId="1BC071DD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lastRenderedPageBreak/>
        <w:t>製作一份頂尖的科展海報，是一場跨領域的挑戰。它要求學生具備科學家的嚴謹邏輯、設計師的美學素養，以及行銷專家的溝通策略。</w:t>
      </w:r>
    </w:p>
    <w:p w14:paraId="40DCFB4F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從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5W1H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的內容提煉，到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格式塔心理學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與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 xml:space="preserve">C.R.A.P. </w:t>
      </w:r>
      <w:r w:rsidRPr="005447F7">
        <w:rPr>
          <w:rFonts w:eastAsia="標楷體"/>
          <w:b/>
          <w:bCs/>
          <w:color w:val="1F1F1F"/>
        </w:rPr>
        <w:t>原則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的排版應用；從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 xml:space="preserve">2025 </w:t>
      </w:r>
      <w:r w:rsidRPr="005447F7">
        <w:rPr>
          <w:rFonts w:eastAsia="標楷體"/>
          <w:b/>
          <w:bCs/>
          <w:color w:val="1F1F1F"/>
        </w:rPr>
        <w:t>年色彩趨勢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的美學注入，到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 xml:space="preserve">Microsoft </w:t>
      </w:r>
      <w:proofErr w:type="spellStart"/>
      <w:r w:rsidRPr="005447F7">
        <w:rPr>
          <w:rFonts w:eastAsia="標楷體"/>
          <w:b/>
          <w:bCs/>
          <w:color w:val="1F1F1F"/>
        </w:rPr>
        <w:t>JhengHei</w:t>
      </w:r>
      <w:proofErr w:type="spellEnd"/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與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Arial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的字體堅持；再到嚴格遵守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全國科展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與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b/>
          <w:bCs/>
          <w:color w:val="1F1F1F"/>
        </w:rPr>
        <w:t>ISEF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的硬體規範。每一個環節的細膩打磨，都是為了移除評審與科學發現之間的障礙，讓研究成果的光芒能夠無損地傳遞。</w:t>
      </w:r>
    </w:p>
    <w:p w14:paraId="78A1DF3C" w14:textId="77777777" w:rsidR="00C65D59" w:rsidRPr="005447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bCs/>
          <w:color w:val="1F1F1F"/>
        </w:rPr>
      </w:pPr>
      <w:r w:rsidRPr="005447F7">
        <w:rPr>
          <w:rFonts w:eastAsia="標楷體"/>
          <w:b/>
          <w:bCs/>
          <w:color w:val="1F1F1F"/>
        </w:rPr>
        <w:t>最終檢查清單（</w:t>
      </w:r>
      <w:r w:rsidRPr="005447F7">
        <w:rPr>
          <w:rFonts w:eastAsia="標楷體"/>
          <w:b/>
          <w:bCs/>
          <w:color w:val="1F1F1F"/>
        </w:rPr>
        <w:t>Final Checklist</w:t>
      </w:r>
      <w:r w:rsidRPr="005447F7">
        <w:rPr>
          <w:rFonts w:eastAsia="標楷體"/>
          <w:b/>
          <w:bCs/>
          <w:color w:val="1F1F1F"/>
        </w:rPr>
        <w:t>）：</w:t>
      </w:r>
    </w:p>
    <w:p w14:paraId="74FE0352" w14:textId="77777777" w:rsidR="00C65D59" w:rsidRPr="005447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 xml:space="preserve">[ ] </w:t>
      </w:r>
      <w:r w:rsidRPr="005447F7">
        <w:rPr>
          <w:rFonts w:eastAsia="標楷體"/>
          <w:b/>
          <w:bCs/>
          <w:color w:val="1F1F1F"/>
        </w:rPr>
        <w:t>標題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是否在</w:t>
      </w:r>
      <w:r w:rsidRPr="005447F7">
        <w:rPr>
          <w:rFonts w:eastAsia="標楷體"/>
          <w:color w:val="1F1F1F"/>
        </w:rPr>
        <w:t xml:space="preserve"> 10 </w:t>
      </w:r>
      <w:r w:rsidRPr="005447F7">
        <w:rPr>
          <w:rFonts w:eastAsia="標楷體"/>
          <w:color w:val="1F1F1F"/>
        </w:rPr>
        <w:t>個字內精準傳達核心？且字體夠大（</w:t>
      </w:r>
      <w:r w:rsidRPr="005447F7">
        <w:rPr>
          <w:rFonts w:eastAsia="標楷體"/>
          <w:color w:val="1F1F1F"/>
        </w:rPr>
        <w:t>&gt;72pt</w:t>
      </w:r>
      <w:r w:rsidRPr="005447F7">
        <w:rPr>
          <w:rFonts w:eastAsia="標楷體"/>
          <w:color w:val="1F1F1F"/>
        </w:rPr>
        <w:t>）？</w:t>
      </w:r>
    </w:p>
    <w:p w14:paraId="4FD24AA9" w14:textId="77777777" w:rsidR="00C65D59" w:rsidRPr="005447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 xml:space="preserve">[ ] </w:t>
      </w:r>
      <w:r w:rsidRPr="005447F7">
        <w:rPr>
          <w:rFonts w:eastAsia="標楷體"/>
          <w:b/>
          <w:bCs/>
          <w:color w:val="1F1F1F"/>
        </w:rPr>
        <w:t>內文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是否已條列化？字體是否大於</w:t>
      </w:r>
      <w:r w:rsidRPr="005447F7">
        <w:rPr>
          <w:rFonts w:eastAsia="標楷體"/>
          <w:color w:val="1F1F1F"/>
        </w:rPr>
        <w:t xml:space="preserve"> 24pt</w:t>
      </w:r>
      <w:r w:rsidRPr="005447F7">
        <w:rPr>
          <w:rFonts w:eastAsia="標楷體"/>
          <w:color w:val="1F1F1F"/>
        </w:rPr>
        <w:t>？</w:t>
      </w:r>
    </w:p>
    <w:p w14:paraId="5187288F" w14:textId="77777777" w:rsidR="00C65D59" w:rsidRPr="005447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 xml:space="preserve">[ ] </w:t>
      </w:r>
      <w:r w:rsidRPr="005447F7">
        <w:rPr>
          <w:rFonts w:eastAsia="標楷體"/>
          <w:b/>
          <w:bCs/>
          <w:color w:val="1F1F1F"/>
        </w:rPr>
        <w:t>留白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是否足夠（</w:t>
      </w:r>
      <w:r w:rsidRPr="005447F7">
        <w:rPr>
          <w:rFonts w:eastAsia="標楷體"/>
          <w:color w:val="1F1F1F"/>
        </w:rPr>
        <w:t>&gt;20%</w:t>
      </w:r>
      <w:r w:rsidRPr="005447F7">
        <w:rPr>
          <w:rFonts w:eastAsia="標楷體"/>
          <w:color w:val="1F1F1F"/>
        </w:rPr>
        <w:t>）？版面是否擁擠？</w:t>
      </w:r>
    </w:p>
    <w:p w14:paraId="492BD6C2" w14:textId="77777777" w:rsidR="00C65D59" w:rsidRPr="005447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 xml:space="preserve">[ ] </w:t>
      </w:r>
      <w:r w:rsidRPr="005447F7">
        <w:rPr>
          <w:rFonts w:eastAsia="標楷體"/>
          <w:b/>
          <w:bCs/>
          <w:color w:val="1F1F1F"/>
        </w:rPr>
        <w:t>圖片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是否清晰無馬賽克（</w:t>
      </w:r>
      <w:r w:rsidRPr="005447F7">
        <w:rPr>
          <w:rFonts w:eastAsia="標楷體"/>
          <w:color w:val="1F1F1F"/>
        </w:rPr>
        <w:t>&gt;150 DPI</w:t>
      </w:r>
      <w:r w:rsidRPr="005447F7">
        <w:rPr>
          <w:rFonts w:eastAsia="標楷體"/>
          <w:color w:val="1F1F1F"/>
        </w:rPr>
        <w:t>）？是否已標註出處？</w:t>
      </w:r>
    </w:p>
    <w:p w14:paraId="31DA9E07" w14:textId="77777777" w:rsidR="00C65D59" w:rsidRPr="005447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 xml:space="preserve">[ ] </w:t>
      </w:r>
      <w:r w:rsidRPr="005447F7">
        <w:rPr>
          <w:rFonts w:eastAsia="標楷體"/>
          <w:b/>
          <w:bCs/>
          <w:color w:val="1F1F1F"/>
        </w:rPr>
        <w:t>配色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是否符合</w:t>
      </w:r>
      <w:r w:rsidRPr="005447F7">
        <w:rPr>
          <w:rFonts w:eastAsia="標楷體"/>
          <w:color w:val="1F1F1F"/>
        </w:rPr>
        <w:t xml:space="preserve"> 60-30-10 </w:t>
      </w:r>
      <w:r w:rsidRPr="005447F7">
        <w:rPr>
          <w:rFonts w:eastAsia="標楷體"/>
          <w:color w:val="1F1F1F"/>
        </w:rPr>
        <w:t>法則？是否通過色盲測試？</w:t>
      </w:r>
    </w:p>
    <w:p w14:paraId="2AED4C4F" w14:textId="77777777" w:rsidR="00C65D59" w:rsidRPr="005447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 xml:space="preserve">[ ] </w:t>
      </w:r>
      <w:r w:rsidRPr="005447F7">
        <w:rPr>
          <w:rFonts w:eastAsia="標楷體"/>
          <w:b/>
          <w:bCs/>
          <w:color w:val="1F1F1F"/>
        </w:rPr>
        <w:t>邏輯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是否順暢（前言</w:t>
      </w:r>
      <w:r w:rsidRPr="005447F7">
        <w:rPr>
          <w:rFonts w:eastAsia="標楷體"/>
          <w:color w:val="1F1F1F"/>
        </w:rPr>
        <w:t xml:space="preserve"> -&gt; </w:t>
      </w:r>
      <w:r w:rsidRPr="005447F7">
        <w:rPr>
          <w:rFonts w:eastAsia="標楷體"/>
          <w:color w:val="1F1F1F"/>
        </w:rPr>
        <w:t>方法</w:t>
      </w:r>
      <w:r w:rsidRPr="005447F7">
        <w:rPr>
          <w:rFonts w:eastAsia="標楷體"/>
          <w:color w:val="1F1F1F"/>
        </w:rPr>
        <w:t xml:space="preserve"> -&gt; </w:t>
      </w:r>
      <w:r w:rsidRPr="005447F7">
        <w:rPr>
          <w:rFonts w:eastAsia="標楷體"/>
          <w:color w:val="1F1F1F"/>
        </w:rPr>
        <w:t>結果</w:t>
      </w:r>
      <w:r w:rsidRPr="005447F7">
        <w:rPr>
          <w:rFonts w:eastAsia="標楷體"/>
          <w:color w:val="1F1F1F"/>
        </w:rPr>
        <w:t xml:space="preserve"> -&gt; </w:t>
      </w:r>
      <w:r w:rsidRPr="005447F7">
        <w:rPr>
          <w:rFonts w:eastAsia="標楷體"/>
          <w:color w:val="1F1F1F"/>
        </w:rPr>
        <w:t>結論）？</w:t>
      </w:r>
    </w:p>
    <w:p w14:paraId="6C953D66" w14:textId="77777777" w:rsidR="00C65D59" w:rsidRPr="005447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 xml:space="preserve">[ ] </w:t>
      </w:r>
      <w:r w:rsidRPr="005447F7">
        <w:rPr>
          <w:rFonts w:eastAsia="標楷體"/>
          <w:b/>
          <w:bCs/>
          <w:color w:val="1F1F1F"/>
        </w:rPr>
        <w:t>違禁品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是否已確認移除（無生物、危險品）？</w:t>
      </w:r>
    </w:p>
    <w:p w14:paraId="346175EE" w14:textId="77777777" w:rsidR="00C65D59" w:rsidRPr="005447F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5447F7">
        <w:rPr>
          <w:rFonts w:eastAsia="標楷體"/>
          <w:color w:val="1F1F1F"/>
        </w:rPr>
        <w:t xml:space="preserve">[ ] </w:t>
      </w:r>
      <w:r w:rsidRPr="005447F7">
        <w:rPr>
          <w:rFonts w:eastAsia="標楷體"/>
          <w:b/>
          <w:bCs/>
          <w:color w:val="1F1F1F"/>
        </w:rPr>
        <w:t>校對</w:t>
      </w:r>
      <w:r w:rsidRPr="005447F7">
        <w:rPr>
          <w:rFonts w:eastAsia="標楷體"/>
          <w:color w:val="1F1F1F"/>
        </w:rPr>
        <w:t xml:space="preserve"> </w:t>
      </w:r>
      <w:r w:rsidRPr="005447F7">
        <w:rPr>
          <w:rFonts w:eastAsia="標楷體"/>
          <w:color w:val="1F1F1F"/>
        </w:rPr>
        <w:t>是否已完成（無錯別字、文法錯誤）？</w:t>
      </w:r>
    </w:p>
    <w:p w14:paraId="1AD6BE74" w14:textId="5F16D399" w:rsidR="00C65D59" w:rsidRPr="005447F7" w:rsidRDefault="00000000" w:rsidP="005447F7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eastAsia="標楷體"/>
          <w:color w:val="1F1F1F"/>
        </w:rPr>
      </w:pPr>
      <w:r w:rsidRPr="005447F7">
        <w:rPr>
          <w:rFonts w:eastAsia="標楷體"/>
          <w:color w:val="1F1F1F"/>
        </w:rPr>
        <w:t>當這張清單上的每一個勾選都被填滿時，你手中的不只是一張海報，而是一張通往科學殿堂的入場券。</w:t>
      </w:r>
    </w:p>
    <w:sectPr w:rsidR="00C65D59" w:rsidRPr="005447F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BC6E139-B044-9D48-8BC9-89AB79ED9A2E}"/>
    <w:embedBold r:id="rId2" w:fontKey="{D455953D-AF0A-964E-858A-4AF07E86360A}"/>
    <w:embedItalic r:id="rId3" w:fontKey="{EA568EF6-A7B7-9447-81DE-DEAECD5DB3C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BBF3914-312D-4443-B616-FFAE9829D0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0604818-1A49-9D4C-9B45-737A64B1E793}"/>
  </w:font>
  <w:font w:name="標楷體">
    <w:panose1 w:val="020B0604020202020204"/>
    <w:charset w:val="88"/>
    <w:family w:val="script"/>
    <w:pitch w:val="fixed"/>
    <w:sig w:usb0="00000003" w:usb1="080E0000" w:usb2="00000016" w:usb3="00000000" w:csb0="00100001" w:csb1="00000000"/>
    <w:embedRegular r:id="rId6" w:subsetted="1" w:fontKey="{6A9F53B6-44A4-8246-B3B4-052FB5B6B30F}"/>
    <w:embedBold r:id="rId7" w:subsetted="1" w:fontKey="{C5399C0C-958D-4B4E-9179-0843404CD6F2}"/>
    <w:embedItalic r:id="rId8" w:subsetted="1" w:fontKey="{4655B3D0-A81C-9E4D-9EEC-D0A7E12C430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B57DDB67-3A45-4C45-B648-0013C09F85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6F25AE51-9E11-F745-BFAF-FAB48FC765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E3"/>
    <w:multiLevelType w:val="multilevel"/>
    <w:tmpl w:val="19AC5D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2D68D4"/>
    <w:multiLevelType w:val="multilevel"/>
    <w:tmpl w:val="C29692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4FA13A0"/>
    <w:multiLevelType w:val="multilevel"/>
    <w:tmpl w:val="1506CF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BF61B62"/>
    <w:multiLevelType w:val="multilevel"/>
    <w:tmpl w:val="4BA0AE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DE37D33"/>
    <w:multiLevelType w:val="multilevel"/>
    <w:tmpl w:val="D37CB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E9218DB"/>
    <w:multiLevelType w:val="multilevel"/>
    <w:tmpl w:val="990AB5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306058E"/>
    <w:multiLevelType w:val="multilevel"/>
    <w:tmpl w:val="6F2085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802A66"/>
    <w:multiLevelType w:val="multilevel"/>
    <w:tmpl w:val="7A50B3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7955B91"/>
    <w:multiLevelType w:val="multilevel"/>
    <w:tmpl w:val="26A283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E62439F"/>
    <w:multiLevelType w:val="multilevel"/>
    <w:tmpl w:val="C180CB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0A05F98"/>
    <w:multiLevelType w:val="multilevel"/>
    <w:tmpl w:val="1E0E3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0F927CA"/>
    <w:multiLevelType w:val="multilevel"/>
    <w:tmpl w:val="359628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5FA7D21"/>
    <w:multiLevelType w:val="multilevel"/>
    <w:tmpl w:val="4C826A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63728F1"/>
    <w:multiLevelType w:val="multilevel"/>
    <w:tmpl w:val="C052A8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8C353AB"/>
    <w:multiLevelType w:val="multilevel"/>
    <w:tmpl w:val="13EA42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9C32644"/>
    <w:multiLevelType w:val="multilevel"/>
    <w:tmpl w:val="8A2AE1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9EE0C34"/>
    <w:multiLevelType w:val="multilevel"/>
    <w:tmpl w:val="D04A28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30D0B66"/>
    <w:multiLevelType w:val="multilevel"/>
    <w:tmpl w:val="0164B6E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6625F2A"/>
    <w:multiLevelType w:val="multilevel"/>
    <w:tmpl w:val="2E8064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D4B7096"/>
    <w:multiLevelType w:val="multilevel"/>
    <w:tmpl w:val="E99EE9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E04328E"/>
    <w:multiLevelType w:val="multilevel"/>
    <w:tmpl w:val="604251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FE25572"/>
    <w:multiLevelType w:val="multilevel"/>
    <w:tmpl w:val="95D8FB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6070B22"/>
    <w:multiLevelType w:val="multilevel"/>
    <w:tmpl w:val="80EC50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B384DFB"/>
    <w:multiLevelType w:val="multilevel"/>
    <w:tmpl w:val="CA1AE9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BBA325F"/>
    <w:multiLevelType w:val="multilevel"/>
    <w:tmpl w:val="4DA07D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F0F1135"/>
    <w:multiLevelType w:val="multilevel"/>
    <w:tmpl w:val="C4B87A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6C903ED"/>
    <w:multiLevelType w:val="multilevel"/>
    <w:tmpl w:val="B3F66CE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70F6980"/>
    <w:multiLevelType w:val="multilevel"/>
    <w:tmpl w:val="5DF88E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8DD3A3F"/>
    <w:multiLevelType w:val="multilevel"/>
    <w:tmpl w:val="8A1CF0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A5E5B61"/>
    <w:multiLevelType w:val="multilevel"/>
    <w:tmpl w:val="D7ECF9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B6B478C"/>
    <w:multiLevelType w:val="multilevel"/>
    <w:tmpl w:val="F410AE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C315B30"/>
    <w:multiLevelType w:val="multilevel"/>
    <w:tmpl w:val="EED605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F4C165D"/>
    <w:multiLevelType w:val="multilevel"/>
    <w:tmpl w:val="5F688C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1176074"/>
    <w:multiLevelType w:val="multilevel"/>
    <w:tmpl w:val="21482D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28E0260"/>
    <w:multiLevelType w:val="multilevel"/>
    <w:tmpl w:val="BAD86C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3433474"/>
    <w:multiLevelType w:val="multilevel"/>
    <w:tmpl w:val="1F2E96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75E05520"/>
    <w:multiLevelType w:val="multilevel"/>
    <w:tmpl w:val="CC463E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B071C6C"/>
    <w:multiLevelType w:val="multilevel"/>
    <w:tmpl w:val="1B12EB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7BDA1BEB"/>
    <w:multiLevelType w:val="multilevel"/>
    <w:tmpl w:val="88081A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3592559">
    <w:abstractNumId w:val="8"/>
  </w:num>
  <w:num w:numId="2" w16cid:durableId="1782795438">
    <w:abstractNumId w:val="33"/>
  </w:num>
  <w:num w:numId="3" w16cid:durableId="49891529">
    <w:abstractNumId w:val="13"/>
  </w:num>
  <w:num w:numId="4" w16cid:durableId="47843643">
    <w:abstractNumId w:val="34"/>
  </w:num>
  <w:num w:numId="5" w16cid:durableId="219444319">
    <w:abstractNumId w:val="29"/>
  </w:num>
  <w:num w:numId="6" w16cid:durableId="496654728">
    <w:abstractNumId w:val="21"/>
  </w:num>
  <w:num w:numId="7" w16cid:durableId="1460149904">
    <w:abstractNumId w:val="7"/>
  </w:num>
  <w:num w:numId="8" w16cid:durableId="1207911772">
    <w:abstractNumId w:val="24"/>
  </w:num>
  <w:num w:numId="9" w16cid:durableId="1719357516">
    <w:abstractNumId w:val="3"/>
  </w:num>
  <w:num w:numId="10" w16cid:durableId="572350756">
    <w:abstractNumId w:val="15"/>
  </w:num>
  <w:num w:numId="11" w16cid:durableId="728962550">
    <w:abstractNumId w:val="32"/>
  </w:num>
  <w:num w:numId="12" w16cid:durableId="1953513364">
    <w:abstractNumId w:val="14"/>
  </w:num>
  <w:num w:numId="13" w16cid:durableId="179467286">
    <w:abstractNumId w:val="35"/>
  </w:num>
  <w:num w:numId="14" w16cid:durableId="474568908">
    <w:abstractNumId w:val="0"/>
  </w:num>
  <w:num w:numId="15" w16cid:durableId="727653032">
    <w:abstractNumId w:val="4"/>
  </w:num>
  <w:num w:numId="16" w16cid:durableId="1675719674">
    <w:abstractNumId w:val="1"/>
  </w:num>
  <w:num w:numId="17" w16cid:durableId="1714621917">
    <w:abstractNumId w:val="28"/>
  </w:num>
  <w:num w:numId="18" w16cid:durableId="1740706514">
    <w:abstractNumId w:val="20"/>
  </w:num>
  <w:num w:numId="19" w16cid:durableId="753550010">
    <w:abstractNumId w:val="19"/>
  </w:num>
  <w:num w:numId="20" w16cid:durableId="685133495">
    <w:abstractNumId w:val="2"/>
  </w:num>
  <w:num w:numId="21" w16cid:durableId="2006518679">
    <w:abstractNumId w:val="12"/>
  </w:num>
  <w:num w:numId="22" w16cid:durableId="251361059">
    <w:abstractNumId w:val="37"/>
  </w:num>
  <w:num w:numId="23" w16cid:durableId="708148408">
    <w:abstractNumId w:val="36"/>
  </w:num>
  <w:num w:numId="24" w16cid:durableId="2089888342">
    <w:abstractNumId w:val="18"/>
  </w:num>
  <w:num w:numId="25" w16cid:durableId="1902472521">
    <w:abstractNumId w:val="6"/>
  </w:num>
  <w:num w:numId="26" w16cid:durableId="239291149">
    <w:abstractNumId w:val="26"/>
  </w:num>
  <w:num w:numId="27" w16cid:durableId="338237565">
    <w:abstractNumId w:val="10"/>
  </w:num>
  <w:num w:numId="28" w16cid:durableId="762996195">
    <w:abstractNumId w:val="31"/>
  </w:num>
  <w:num w:numId="29" w16cid:durableId="190531000">
    <w:abstractNumId w:val="11"/>
  </w:num>
  <w:num w:numId="30" w16cid:durableId="1138500596">
    <w:abstractNumId w:val="30"/>
  </w:num>
  <w:num w:numId="31" w16cid:durableId="1338770453">
    <w:abstractNumId w:val="25"/>
  </w:num>
  <w:num w:numId="32" w16cid:durableId="309288857">
    <w:abstractNumId w:val="16"/>
  </w:num>
  <w:num w:numId="33" w16cid:durableId="753404145">
    <w:abstractNumId w:val="27"/>
  </w:num>
  <w:num w:numId="34" w16cid:durableId="1618759082">
    <w:abstractNumId w:val="22"/>
  </w:num>
  <w:num w:numId="35" w16cid:durableId="1989481525">
    <w:abstractNumId w:val="23"/>
  </w:num>
  <w:num w:numId="36" w16cid:durableId="425033600">
    <w:abstractNumId w:val="9"/>
  </w:num>
  <w:num w:numId="37" w16cid:durableId="133723975">
    <w:abstractNumId w:val="38"/>
  </w:num>
  <w:num w:numId="38" w16cid:durableId="1117527090">
    <w:abstractNumId w:val="17"/>
  </w:num>
  <w:num w:numId="39" w16cid:durableId="727147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D59"/>
    <w:rsid w:val="00147192"/>
    <w:rsid w:val="005447F7"/>
    <w:rsid w:val="00BD60AF"/>
    <w:rsid w:val="00C65D59"/>
    <w:rsid w:val="00F05FC6"/>
    <w:rsid w:val="00F5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4AD1"/>
  <w15:docId w15:val="{D1ADC594-CE08-6A4F-A111-DA1340DB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544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447F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7771</Words>
  <Characters>9196</Characters>
  <Application>Microsoft Office Word</Application>
  <DocSecurity>0</DocSecurity>
  <Lines>317</Lines>
  <Paragraphs>197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frog lin</cp:lastModifiedBy>
  <cp:revision>3</cp:revision>
  <dcterms:created xsi:type="dcterms:W3CDTF">2026-01-08T02:30:00Z</dcterms:created>
  <dcterms:modified xsi:type="dcterms:W3CDTF">2026-04-15T15:02:00Z</dcterms:modified>
</cp:coreProperties>
</file>