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D39B" w14:textId="77777777" w:rsidR="00810AD0" w:rsidRPr="00AE2A7B" w:rsidRDefault="00810AD0">
      <w:pPr>
        <w:pBdr>
          <w:top w:val="nil"/>
          <w:left w:val="nil"/>
          <w:bottom w:val="nil"/>
          <w:right w:val="nil"/>
          <w:between w:val="nil"/>
        </w:pBdr>
        <w:spacing w:after="240" w:line="275" w:lineRule="auto"/>
        <w:rPr>
          <w:rFonts w:eastAsia="標楷體"/>
          <w:color w:val="000000"/>
        </w:rPr>
      </w:pPr>
    </w:p>
    <w:p w14:paraId="5673BA79" w14:textId="77777777" w:rsidR="00810AD0" w:rsidRPr="00AE2A7B" w:rsidRDefault="00000000" w:rsidP="00AE2A7B">
      <w:pPr>
        <w:pStyle w:val="1"/>
        <w:spacing w:before="0" w:after="120" w:line="275" w:lineRule="auto"/>
        <w:jc w:val="center"/>
        <w:rPr>
          <w:rFonts w:eastAsia="標楷體"/>
          <w:color w:val="1B1C1D"/>
          <w:sz w:val="44"/>
          <w:szCs w:val="44"/>
        </w:rPr>
      </w:pPr>
      <w:r w:rsidRPr="00AE2A7B">
        <w:rPr>
          <w:rFonts w:eastAsia="標楷體"/>
          <w:color w:val="1B1C1D"/>
          <w:sz w:val="44"/>
          <w:szCs w:val="44"/>
        </w:rPr>
        <w:t>台灣科學展覽會成功因子與常見缺失分析報告</w:t>
      </w:r>
    </w:p>
    <w:p w14:paraId="30C593A4" w14:textId="388F3B85" w:rsidR="00810AD0" w:rsidRPr="00AE2A7B" w:rsidRDefault="00AE2A7B" w:rsidP="00AE2A7B">
      <w:pPr>
        <w:pBdr>
          <w:top w:val="nil"/>
          <w:left w:val="nil"/>
          <w:bottom w:val="nil"/>
          <w:right w:val="nil"/>
          <w:between w:val="nil"/>
        </w:pBdr>
        <w:spacing w:after="240" w:line="275" w:lineRule="auto"/>
        <w:jc w:val="center"/>
        <w:rPr>
          <w:rFonts w:eastAsia="標楷體"/>
          <w:color w:val="1B1C1D"/>
        </w:rPr>
      </w:pPr>
      <w:r>
        <w:rPr>
          <w:rFonts w:eastAsia="標楷體" w:hint="eastAsia"/>
          <w:color w:val="1B1C1D"/>
        </w:rPr>
        <w:t>台北市麗山高中</w:t>
      </w:r>
      <w:r>
        <w:rPr>
          <w:rFonts w:eastAsia="標楷體" w:hint="eastAsia"/>
          <w:color w:val="1B1C1D"/>
        </w:rPr>
        <w:t xml:space="preserve"> </w:t>
      </w:r>
      <w:r>
        <w:rPr>
          <w:rFonts w:eastAsia="標楷體" w:hint="eastAsia"/>
          <w:color w:val="1B1C1D"/>
        </w:rPr>
        <w:t>林獻升老師</w:t>
      </w:r>
      <w:r>
        <w:rPr>
          <w:rFonts w:eastAsia="標楷體" w:hint="eastAsia"/>
          <w:color w:val="1B1C1D"/>
        </w:rPr>
        <w:t xml:space="preserve"> </w:t>
      </w:r>
      <w:r>
        <w:rPr>
          <w:rFonts w:eastAsia="標楷體"/>
          <w:color w:val="1B1C1D"/>
        </w:rPr>
        <w:t>Gemini 2.5 pro deep research</w:t>
      </w:r>
    </w:p>
    <w:p w14:paraId="26BDD2B2" w14:textId="1FE831E8" w:rsidR="00810AD0" w:rsidRPr="005632ED" w:rsidRDefault="005632ED" w:rsidP="005632ED">
      <w:pPr>
        <w:pBdr>
          <w:top w:val="nil"/>
          <w:left w:val="nil"/>
          <w:bottom w:val="nil"/>
          <w:right w:val="nil"/>
          <w:between w:val="nil"/>
        </w:pBdr>
        <w:spacing w:after="240" w:line="275" w:lineRule="auto"/>
        <w:jc w:val="center"/>
        <w:rPr>
          <w:rFonts w:eastAsia="標楷體"/>
          <w:color w:val="1B1C1D"/>
        </w:rPr>
      </w:pPr>
      <w:hyperlink r:id="rId5" w:history="1">
        <w:r w:rsidRPr="005632ED">
          <w:rPr>
            <w:rStyle w:val="a7"/>
            <w:rFonts w:eastAsia="標楷體" w:hint="eastAsia"/>
          </w:rPr>
          <w:t>心智圖</w:t>
        </w:r>
      </w:hyperlink>
      <w:r>
        <w:rPr>
          <w:rFonts w:eastAsia="標楷體" w:hint="eastAsia"/>
          <w:color w:val="1B1C1D"/>
        </w:rPr>
        <w:t>、</w:t>
      </w:r>
      <w:r w:rsidR="000470A9">
        <w:rPr>
          <w:rFonts w:eastAsia="標楷體"/>
          <w:color w:val="1B1C1D"/>
        </w:rPr>
        <w:fldChar w:fldCharType="begin"/>
      </w:r>
      <w:r w:rsidR="000470A9">
        <w:rPr>
          <w:rFonts w:eastAsia="標楷體" w:hint="eastAsia"/>
          <w:color w:val="1B1C1D"/>
        </w:rPr>
        <w:instrText>HYPERLINK "%3c!DOCTYPE%20html%3e%20%3chtml%20lang=%22zh-Hant%22%3e%20%3chead%3e%20%20%20%20%20%3cmeta%20charset=%22UTF-8%22%3e%20%20%20%20%20%3cmeta%20name=%22viewport%22%20content=%22width=device-width,%20initial-scale=1.0%22%3e%20%20%20%20%20%3ctitle%3e</w:instrText>
      </w:r>
      <w:r w:rsidR="000470A9">
        <w:rPr>
          <w:rFonts w:eastAsia="標楷體" w:hint="eastAsia"/>
          <w:color w:val="1B1C1D"/>
        </w:rPr>
        <w:instrText>臺灣科展成功關鍵分析</w:instrText>
      </w:r>
      <w:r w:rsidR="000470A9">
        <w:rPr>
          <w:rFonts w:eastAsia="標楷體" w:hint="eastAsia"/>
          <w:color w:val="1B1C1D"/>
        </w:rPr>
        <w:instrText>%3c/title%3e%20%20%20%20%20%3cscript%20src=%22https:/cdn.tailwindcss.com%22%3e%3c/script%3e%20%20%20%20%20%3cscript%20src=%22https:/cdnjs.cloudflare.com/ajax/libs/Chart.js/3.7.1/chart.min.js%22%3e%3c/script%3e%20%20%20%20%20%3cstyle%3e%20%20%20%20%20%20%20%20%20body%20%7b%20%20%20%20%20%20%20%20%20%20%20%20%20font-family:%20'Inter',%20'Noto%20Sans%20TC',%20sans-serif;%20%20%20%20%20%20%20%20%20%7d%20%20%20%20%20%20%20%20%20.chart-container%20%7b%20%20%20%20%20%20%20%20%20%20%20%20%20position:%20relative;%20%20%20%20%20%20%20%20%20%20%20%20%20width:%20100%25;%20%20%20%20%20%20%20%20%20%20%20%20%20max-width:%20600px;%20%20%20%20%20%20%20%20%20%20%20%20%20height:%2040vh;%20%20%20%20%20%20%20%20%20%20%20%20%20max-height:%20400px;%20%20%20%20%20%20%20%20%20%20%20%20%20margin-left:%20auto;%20%20%20%20%20%20%20%20%20%20%20%20%20margin-right:%20auto;%20%20%20%20%20%20%20%20%20%7d%20%20%20%20%20%20%20%20%20.nav-button%20%7b%20%20%20%20%20%20%20%20%20%20%20%20%20transition:%20all%200.3s%20ease;%20%20%20%20%20%20%20%20%20%7d%20%20%20%20%20%20%20%20%20.nav-button.active%20%7b%20%20%20%20%20%20%20%20%20%20%20%20%20background-color:"</w:instrText>
      </w:r>
      <w:r w:rsidR="000470A9">
        <w:rPr>
          <w:rFonts w:eastAsia="標楷體"/>
          <w:color w:val="1B1C1D"/>
        </w:rPr>
        <w:instrText xml:space="preserve"> \l "2563EB;              color: white;             box-shadow: 0 4px 6px -1px rgba(0, 0, 0, 0.1), 0 2px 4px -1px rgba(0, 0, 0, 0.06);         }         .nav-button:not(.active):hover {             background-color: "</w:instrText>
      </w:r>
      <w:r w:rsidR="000470A9">
        <w:rPr>
          <w:rFonts w:eastAsia="標楷體"/>
          <w:color w:val="1B1C1D"/>
        </w:rPr>
      </w:r>
      <w:r w:rsidR="000470A9">
        <w:rPr>
          <w:rFonts w:eastAsia="標楷體"/>
          <w:color w:val="1B1C1D"/>
        </w:rPr>
        <w:fldChar w:fldCharType="separate"/>
      </w:r>
      <w:r w:rsidR="000470A9" w:rsidRPr="000470A9">
        <w:rPr>
          <w:rStyle w:val="a7"/>
          <w:rFonts w:eastAsia="標楷體" w:hint="eastAsia"/>
        </w:rPr>
        <w:t>資訊圖</w:t>
      </w:r>
      <w:r w:rsidR="000470A9">
        <w:rPr>
          <w:rFonts w:eastAsia="標楷體"/>
          <w:color w:val="1B1C1D"/>
        </w:rPr>
        <w:fldChar w:fldCharType="end"/>
      </w:r>
      <w:r w:rsidR="000470A9">
        <w:rPr>
          <w:rFonts w:eastAsia="標楷體" w:hint="eastAsia"/>
          <w:color w:val="1B1C1D"/>
        </w:rPr>
        <w:t>、</w:t>
      </w:r>
      <w:r w:rsidR="00D41571">
        <w:rPr>
          <w:rFonts w:eastAsia="標楷體"/>
          <w:color w:val="1B1C1D"/>
        </w:rPr>
        <w:fldChar w:fldCharType="begin"/>
      </w:r>
      <w:r w:rsidR="003F60C5">
        <w:rPr>
          <w:rFonts w:eastAsia="標楷體"/>
          <w:color w:val="1B1C1D"/>
        </w:rPr>
        <w:instrText>HYPERLINK "https://chat.qwen.ai/s/deploy/71001bdb-87fd-4ae4-b7d7-7765c4d1a5d8"</w:instrText>
      </w:r>
      <w:r w:rsidR="003F60C5">
        <w:rPr>
          <w:rFonts w:eastAsia="標楷體"/>
          <w:color w:val="1B1C1D"/>
        </w:rPr>
      </w:r>
      <w:r w:rsidR="00D41571">
        <w:rPr>
          <w:rFonts w:eastAsia="標楷體"/>
          <w:color w:val="1B1C1D"/>
        </w:rPr>
        <w:fldChar w:fldCharType="separate"/>
      </w:r>
      <w:r w:rsidRPr="00D41571">
        <w:rPr>
          <w:rStyle w:val="a7"/>
          <w:rFonts w:eastAsia="標楷體" w:hint="eastAsia"/>
        </w:rPr>
        <w:t>網頁版</w:t>
      </w:r>
      <w:r w:rsidR="00D41571">
        <w:rPr>
          <w:rFonts w:eastAsia="標楷體"/>
          <w:color w:val="1B1C1D"/>
        </w:rPr>
        <w:fldChar w:fldCharType="end"/>
      </w:r>
      <w:r>
        <w:rPr>
          <w:rFonts w:eastAsia="標楷體" w:hint="eastAsia"/>
          <w:color w:val="1B1C1D"/>
        </w:rPr>
        <w:t>、簡報版、</w:t>
      </w:r>
      <w:r w:rsidR="003F60C5">
        <w:rPr>
          <w:rFonts w:eastAsia="標楷體"/>
          <w:color w:val="1B1C1D"/>
        </w:rPr>
        <w:fldChar w:fldCharType="begin"/>
      </w:r>
      <w:r w:rsidR="003F60C5">
        <w:rPr>
          <w:rFonts w:eastAsia="標楷體" w:hint="eastAsia"/>
          <w:color w:val="1B1C1D"/>
        </w:rPr>
        <w:instrText>HYPERLINK "https://felo.ai/page/preview/oT8N8RPUBS72nKAbqAdfW3?business_type=AGENT_THREAD&amp;invite=E0Jz5nO7j7kLQ"</w:instrText>
      </w:r>
      <w:r w:rsidR="003F60C5">
        <w:rPr>
          <w:rFonts w:eastAsia="標楷體"/>
          <w:color w:val="1B1C1D"/>
        </w:rPr>
      </w:r>
      <w:r w:rsidR="003F60C5">
        <w:rPr>
          <w:rFonts w:eastAsia="標楷體"/>
          <w:color w:val="1B1C1D"/>
        </w:rPr>
        <w:fldChar w:fldCharType="separate"/>
      </w:r>
      <w:r w:rsidRPr="003F60C5">
        <w:rPr>
          <w:rStyle w:val="a7"/>
          <w:rFonts w:eastAsia="標楷體" w:hint="eastAsia"/>
        </w:rPr>
        <w:t>網頁介紹</w:t>
      </w:r>
      <w:r w:rsidR="003F60C5">
        <w:rPr>
          <w:rFonts w:eastAsia="標楷體"/>
          <w:color w:val="1B1C1D"/>
        </w:rPr>
        <w:fldChar w:fldCharType="end"/>
      </w:r>
      <w:r>
        <w:rPr>
          <w:rFonts w:eastAsia="標楷體" w:hint="eastAsia"/>
          <w:color w:val="1B1C1D"/>
        </w:rPr>
        <w:t>、語音介紹、影片介紹</w:t>
      </w:r>
    </w:p>
    <w:p w14:paraId="1134D067" w14:textId="69EB20D3" w:rsidR="00810AD0" w:rsidRPr="00AE2A7B" w:rsidRDefault="00000000" w:rsidP="00AE2A7B">
      <w:pPr>
        <w:pStyle w:val="2"/>
        <w:spacing w:before="0" w:after="120" w:line="275" w:lineRule="auto"/>
        <w:rPr>
          <w:rFonts w:eastAsia="標楷體"/>
          <w:color w:val="1B1C1D"/>
        </w:rPr>
      </w:pPr>
      <w:r w:rsidRPr="00AE2A7B">
        <w:rPr>
          <w:rFonts w:eastAsia="標楷體"/>
          <w:color w:val="1B1C1D"/>
        </w:rPr>
        <w:t>第一章：研究發現執行摘要</w:t>
      </w:r>
    </w:p>
    <w:p w14:paraId="322BC507" w14:textId="77777777" w:rsidR="00810AD0" w:rsidRPr="00AE2A7B" w:rsidRDefault="00000000">
      <w:pPr>
        <w:pBdr>
          <w:top w:val="nil"/>
          <w:left w:val="nil"/>
          <w:bottom w:val="nil"/>
          <w:right w:val="nil"/>
          <w:between w:val="nil"/>
        </w:pBdr>
        <w:spacing w:after="240" w:line="275" w:lineRule="auto"/>
        <w:rPr>
          <w:rFonts w:eastAsia="標楷體"/>
          <w:color w:val="1B1C1D"/>
        </w:rPr>
      </w:pPr>
      <w:r w:rsidRPr="00AE2A7B">
        <w:rPr>
          <w:rFonts w:eastAsia="標楷體"/>
          <w:color w:val="1B1C1D"/>
        </w:rPr>
        <w:t>本報告深度剖析台灣全國中小學科學展覽會（</w:t>
      </w:r>
      <w:r w:rsidRPr="00AE2A7B">
        <w:rPr>
          <w:rFonts w:eastAsia="標楷體"/>
          <w:color w:val="1B1C1D"/>
        </w:rPr>
        <w:t>NSF</w:t>
      </w:r>
      <w:r w:rsidRPr="00AE2A7B">
        <w:rPr>
          <w:rFonts w:eastAsia="標楷體"/>
          <w:color w:val="1B1C1D"/>
        </w:rPr>
        <w:t>）與台灣國際科學展覽會（</w:t>
      </w:r>
      <w:r w:rsidRPr="00AE2A7B">
        <w:rPr>
          <w:rFonts w:eastAsia="標楷體"/>
          <w:color w:val="1B1C1D"/>
        </w:rPr>
        <w:t>TISF</w:t>
      </w:r>
      <w:r w:rsidRPr="00AE2A7B">
        <w:rPr>
          <w:rFonts w:eastAsia="標楷體"/>
          <w:color w:val="1B1C1D"/>
        </w:rPr>
        <w:t>）的評審意見與作品特質，旨在歸納得獎作品的成功模式與未獲獎作品的普遍性缺失。分析指出，在科學競賽中脫穎而出，並非仰賴單一的突破性概念，而是取決於研究在多個維度上達成的「科學成熟度」，此成熟度涵蓋了方法的嚴謹性、理論的深度、創新的闡述能力，以及過程的完整性。反之，未能獲獎的作品往往是在上述一個或多個基礎支柱上存在關鍵性缺陷，而非僅因努力不足。本報告特別強調，區分優秀研究與僅僅合格研究的核心分野，在於能否跨越從「現象描述」到「機制解釋」的鴻溝。</w:t>
      </w:r>
    </w:p>
    <w:p w14:paraId="54326D91" w14:textId="77777777" w:rsidR="00810AD0" w:rsidRPr="00AE2A7B" w:rsidRDefault="00810AD0">
      <w:pPr>
        <w:pBdr>
          <w:top w:val="nil"/>
          <w:left w:val="nil"/>
          <w:bottom w:val="nil"/>
          <w:right w:val="nil"/>
          <w:between w:val="nil"/>
        </w:pBdr>
        <w:spacing w:after="240" w:line="275" w:lineRule="auto"/>
        <w:rPr>
          <w:rFonts w:eastAsia="標楷體"/>
          <w:color w:val="1B1C1D"/>
        </w:rPr>
      </w:pPr>
    </w:p>
    <w:p w14:paraId="41AD7324" w14:textId="7C5731BD" w:rsidR="00810AD0" w:rsidRPr="00AE2A7B" w:rsidRDefault="00000000" w:rsidP="00AE2A7B">
      <w:pPr>
        <w:pStyle w:val="2"/>
        <w:spacing w:before="0" w:after="120" w:line="275" w:lineRule="auto"/>
        <w:rPr>
          <w:rFonts w:eastAsia="標楷體"/>
          <w:color w:val="1B1C1D"/>
        </w:rPr>
      </w:pPr>
      <w:r w:rsidRPr="00AE2A7B">
        <w:rPr>
          <w:rFonts w:eastAsia="標楷體"/>
          <w:color w:val="1B1C1D"/>
        </w:rPr>
        <w:t>第二章：獲獎作品剖析：跨學科的成功典範</w:t>
      </w:r>
    </w:p>
    <w:p w14:paraId="1481FE5F" w14:textId="381C1FDD" w:rsidR="00810AD0" w:rsidRPr="00AE2A7B" w:rsidRDefault="00000000">
      <w:pPr>
        <w:pBdr>
          <w:top w:val="nil"/>
          <w:left w:val="nil"/>
          <w:bottom w:val="nil"/>
          <w:right w:val="nil"/>
          <w:between w:val="nil"/>
        </w:pBdr>
        <w:spacing w:after="240" w:line="275" w:lineRule="auto"/>
        <w:rPr>
          <w:rFonts w:eastAsia="標楷體"/>
          <w:color w:val="1B1C1D"/>
        </w:rPr>
      </w:pPr>
      <w:r w:rsidRPr="00AE2A7B">
        <w:rPr>
          <w:rFonts w:eastAsia="標楷體"/>
          <w:color w:val="1B1C1D"/>
        </w:rPr>
        <w:t>本章節將解構成功專題研究的核心支柱，並引用具體的研究案例進行說明，以闡明這些支柱在實踐中的體現。</w:t>
      </w:r>
    </w:p>
    <w:p w14:paraId="080BFC96" w14:textId="29FF3309"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2.1 </w:t>
      </w:r>
      <w:r w:rsidRPr="00AE2A7B">
        <w:rPr>
          <w:rFonts w:eastAsia="標楷體"/>
          <w:color w:val="1B1C1D"/>
        </w:rPr>
        <w:t>科學研究的基石：方法的嚴謹性與數據的精確性</w:t>
      </w:r>
    </w:p>
    <w:p w14:paraId="4EE5B985" w14:textId="750BECCE"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任何獲獎作品的不可動搖之基石，在於其無可挑剔的科學方法論。評審標準明確指出，周全的研究計畫、清晰的變因控制、系統性的數據收集與分析，是評斷作品優劣的先決條件。</w:t>
      </w:r>
    </w:p>
    <w:p w14:paraId="5E0AF18A" w14:textId="42A297F9" w:rsidR="00810AD0" w:rsidRPr="00AE2A7B" w:rsidRDefault="00000000">
      <w:pPr>
        <w:numPr>
          <w:ilvl w:val="0"/>
          <w:numId w:val="1"/>
        </w:numPr>
        <w:pBdr>
          <w:top w:val="nil"/>
          <w:left w:val="nil"/>
          <w:bottom w:val="nil"/>
          <w:right w:val="nil"/>
          <w:between w:val="nil"/>
        </w:pBdr>
        <w:spacing w:line="275" w:lineRule="auto"/>
        <w:rPr>
          <w:rFonts w:eastAsia="標楷體"/>
        </w:rPr>
      </w:pPr>
      <w:r w:rsidRPr="00AE2A7B">
        <w:rPr>
          <w:rFonts w:eastAsia="標楷體"/>
          <w:b/>
          <w:color w:val="1B1C1D"/>
        </w:rPr>
        <w:t>系統性的變因控制</w:t>
      </w:r>
      <w:r w:rsidRPr="00AE2A7B">
        <w:rPr>
          <w:rFonts w:eastAsia="標楷體"/>
          <w:color w:val="1B1C1D"/>
        </w:rPr>
        <w:t>：成功的作品展現出對實驗環境的高度掌控力，以確保數據的有效性。例如，在斑馬魚（</w:t>
      </w:r>
      <w:r w:rsidRPr="00AE2A7B">
        <w:rPr>
          <w:rFonts w:eastAsia="標楷體"/>
          <w:i/>
          <w:color w:val="1B1C1D"/>
        </w:rPr>
        <w:t>Danio rerio</w:t>
      </w:r>
      <w:r w:rsidRPr="00AE2A7B">
        <w:rPr>
          <w:rFonts w:eastAsia="標楷體"/>
          <w:color w:val="1B1C1D"/>
        </w:rPr>
        <w:t>）的行為研究中，研究者透過隨機撈取樣本以降低取樣誤差，並設置過渡區讓魚隻適應環境以降低其焦慮感，從而避免了潛在的壓力變因干擾實驗結果。這種細緻的設計反映了研究者對數據純淨度的追求。</w:t>
      </w:r>
    </w:p>
    <w:p w14:paraId="64E12D3F" w14:textId="3E5B1864" w:rsidR="00810AD0" w:rsidRPr="00AE2A7B" w:rsidRDefault="00000000">
      <w:pPr>
        <w:numPr>
          <w:ilvl w:val="0"/>
          <w:numId w:val="1"/>
        </w:numPr>
        <w:pBdr>
          <w:top w:val="nil"/>
          <w:left w:val="nil"/>
          <w:bottom w:val="nil"/>
          <w:right w:val="nil"/>
          <w:between w:val="nil"/>
        </w:pBdr>
        <w:spacing w:line="275" w:lineRule="auto"/>
        <w:rPr>
          <w:rFonts w:eastAsia="標楷體"/>
        </w:rPr>
      </w:pPr>
      <w:r w:rsidRPr="00AE2A7B">
        <w:rPr>
          <w:rFonts w:eastAsia="標楷體"/>
          <w:b/>
          <w:color w:val="1B1C1D"/>
        </w:rPr>
        <w:t>測量方法的創新</w:t>
      </w:r>
      <w:r w:rsidRPr="00AE2A7B">
        <w:rPr>
          <w:rFonts w:eastAsia="標楷體"/>
          <w:color w:val="1B1C1D"/>
        </w:rPr>
        <w:t>：面對研究對象的限制，學生展現出的創造力是獲獎的關鍵。一個卓越的例子是為了解決海膽棘刺敏感、導致傳統游標尺測量不準的問題，研究團隊利用雷射筆與</w:t>
      </w:r>
      <w:r w:rsidRPr="00AE2A7B">
        <w:rPr>
          <w:rFonts w:eastAsia="標楷體"/>
          <w:color w:val="1B1C1D"/>
        </w:rPr>
        <w:t>3D</w:t>
      </w:r>
      <w:r w:rsidRPr="00AE2A7B">
        <w:rPr>
          <w:rFonts w:eastAsia="標楷體"/>
          <w:color w:val="1B1C1D"/>
        </w:rPr>
        <w:t>列印框架，自製了「光線游標尺」。此工具不僅解決了測量難題，更體現了跨領域的問題解決能力與技術實踐力。</w:t>
      </w:r>
    </w:p>
    <w:p w14:paraId="2D91BC3B" w14:textId="35B5E7D6" w:rsidR="00810AD0" w:rsidRPr="00AE2A7B" w:rsidRDefault="00000000">
      <w:pPr>
        <w:numPr>
          <w:ilvl w:val="0"/>
          <w:numId w:val="1"/>
        </w:numPr>
        <w:pBdr>
          <w:top w:val="nil"/>
          <w:left w:val="nil"/>
          <w:bottom w:val="nil"/>
          <w:right w:val="nil"/>
          <w:between w:val="nil"/>
        </w:pBdr>
        <w:spacing w:line="275" w:lineRule="auto"/>
        <w:rPr>
          <w:rFonts w:eastAsia="標楷體"/>
        </w:rPr>
      </w:pPr>
      <w:r w:rsidRPr="00AE2A7B">
        <w:rPr>
          <w:rFonts w:eastAsia="標楷體"/>
          <w:b/>
          <w:color w:val="1B1C1D"/>
        </w:rPr>
        <w:t>高階量化技術的應用</w:t>
      </w:r>
      <w:r w:rsidRPr="00AE2A7B">
        <w:rPr>
          <w:rFonts w:eastAsia="標楷體"/>
          <w:color w:val="1B1C1D"/>
        </w:rPr>
        <w:t>：為了將複雜的質性觀察轉化為客觀的量化數據，頂尖作品常導入先進的分析工具。例如，在烏賊捕食行為的研究中，團隊採用了機器學習的深度神經網絡演算法</w:t>
      </w:r>
      <w:r w:rsidRPr="00AE2A7B">
        <w:rPr>
          <w:rFonts w:eastAsia="標楷體"/>
          <w:color w:val="1B1C1D"/>
        </w:rPr>
        <w:t xml:space="preserve"> </w:t>
      </w:r>
      <w:proofErr w:type="spellStart"/>
      <w:r w:rsidRPr="00AE2A7B">
        <w:rPr>
          <w:rFonts w:eastAsia="標楷體"/>
          <w:b/>
          <w:color w:val="1B1C1D"/>
        </w:rPr>
        <w:t>DeepLabCut</w:t>
      </w:r>
      <w:proofErr w:type="spellEnd"/>
      <w:r w:rsidRPr="00AE2A7B">
        <w:rPr>
          <w:rFonts w:eastAsia="標楷體"/>
          <w:color w:val="1B1C1D"/>
        </w:rPr>
        <w:t>，精準量化烏賊複雜的身體姿態。這項技術的應用，使得行為學觀察得以成為探索腦神經生理機制的數據基礎，是科學成熟度的重要體現。</w:t>
      </w:r>
    </w:p>
    <w:p w14:paraId="4AEEDDF4" w14:textId="72BFE5D0" w:rsidR="00810AD0" w:rsidRPr="00AE2A7B" w:rsidRDefault="00000000">
      <w:pPr>
        <w:numPr>
          <w:ilvl w:val="0"/>
          <w:numId w:val="1"/>
        </w:numPr>
        <w:pBdr>
          <w:top w:val="nil"/>
          <w:left w:val="nil"/>
          <w:bottom w:val="nil"/>
          <w:right w:val="nil"/>
          <w:between w:val="nil"/>
        </w:pBdr>
        <w:spacing w:after="120" w:line="275" w:lineRule="auto"/>
        <w:rPr>
          <w:rFonts w:eastAsia="標楷體"/>
        </w:rPr>
      </w:pPr>
      <w:r w:rsidRPr="00AE2A7B">
        <w:rPr>
          <w:rFonts w:eastAsia="標楷體"/>
          <w:b/>
          <w:color w:val="1B1C1D"/>
        </w:rPr>
        <w:lastRenderedPageBreak/>
        <w:t>統計學的驗證</w:t>
      </w:r>
      <w:r w:rsidRPr="00AE2A7B">
        <w:rPr>
          <w:rFonts w:eastAsia="標楷體"/>
          <w:color w:val="1B1C1D"/>
        </w:rPr>
        <w:t>：所有科學結論都必須建立在統計顯著性的基礎之上。評審意見反覆強調，獲獎作品普遍能善用統計學方法（如</w:t>
      </w:r>
      <w:r w:rsidRPr="00AE2A7B">
        <w:rPr>
          <w:rFonts w:eastAsia="標楷體"/>
          <w:color w:val="1B1C1D"/>
        </w:rPr>
        <w:t>t</w:t>
      </w:r>
      <w:r w:rsidRPr="00AE2A7B">
        <w:rPr>
          <w:rFonts w:eastAsia="標楷體"/>
          <w:color w:val="1B1C1D"/>
        </w:rPr>
        <w:t>檢定）來驗證不同組別間的差異是否具有統計學意義。一項關於米苔目新製程的研究，便因其在比較各處理組差異時充分運用統計方法，使結果具備高度可信度而受到讚揚。</w:t>
      </w:r>
    </w:p>
    <w:p w14:paraId="48C5AE29"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28CDE936" w14:textId="46E03F9E"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2.2 </w:t>
      </w:r>
      <w:r w:rsidRPr="00AE2A7B">
        <w:rPr>
          <w:rFonts w:eastAsia="標楷體"/>
          <w:color w:val="1B1C1D"/>
        </w:rPr>
        <w:t>超越觀察：對機制深度的探求</w:t>
      </w:r>
    </w:p>
    <w:p w14:paraId="7E78969A"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從描述科學（發生了什麼）躍升至解釋性科學（為何如此發生），是區分作品層次的關鍵一步。得獎作品不僅呈現現象，更致力於闡明其背後的物理、化學或生物學機制。</w:t>
      </w:r>
    </w:p>
    <w:p w14:paraId="733697EA" w14:textId="0D061BDB" w:rsidR="00810AD0" w:rsidRPr="00AE2A7B" w:rsidRDefault="00000000">
      <w:pPr>
        <w:numPr>
          <w:ilvl w:val="0"/>
          <w:numId w:val="12"/>
        </w:numPr>
        <w:pBdr>
          <w:top w:val="nil"/>
          <w:left w:val="nil"/>
          <w:bottom w:val="nil"/>
          <w:right w:val="nil"/>
          <w:between w:val="nil"/>
        </w:pBdr>
        <w:spacing w:line="275" w:lineRule="auto"/>
        <w:rPr>
          <w:rFonts w:eastAsia="標楷體"/>
        </w:rPr>
      </w:pPr>
      <w:r w:rsidRPr="00AE2A7B">
        <w:rPr>
          <w:rFonts w:eastAsia="標楷體"/>
          <w:b/>
          <w:color w:val="1B1C1D"/>
        </w:rPr>
        <w:t>闡明生物學機制</w:t>
      </w:r>
      <w:r w:rsidRPr="00AE2A7B">
        <w:rPr>
          <w:rFonts w:eastAsia="標楷體"/>
          <w:color w:val="1B1C1D"/>
        </w:rPr>
        <w:t>：優秀的植物學研究不僅記錄皇宮菜（</w:t>
      </w:r>
      <w:r w:rsidRPr="00AE2A7B">
        <w:rPr>
          <w:rFonts w:eastAsia="標楷體"/>
          <w:i/>
          <w:color w:val="1B1C1D"/>
        </w:rPr>
        <w:t>Basella alba</w:t>
      </w:r>
      <w:r w:rsidRPr="00AE2A7B">
        <w:rPr>
          <w:rFonts w:eastAsia="標楷體"/>
          <w:color w:val="1B1C1D"/>
        </w:rPr>
        <w:t>）的耐旱特性，更深入探討其生理機制，發現植株在缺水逆境下會透過增加氣孔密度並形成「氣孔簇」（</w:t>
      </w:r>
      <w:r w:rsidRPr="00AE2A7B">
        <w:rPr>
          <w:rFonts w:eastAsia="標楷體"/>
          <w:color w:val="1B1C1D"/>
        </w:rPr>
        <w:t>stomatal clusters</w:t>
      </w:r>
      <w:r w:rsidRPr="00AE2A7B">
        <w:rPr>
          <w:rFonts w:eastAsia="標楷體"/>
          <w:color w:val="1B1C1D"/>
        </w:rPr>
        <w:t>）來調節水分散失，從而揭示了其適應策略的微觀基礎</w:t>
      </w:r>
      <w:r w:rsidRPr="00AE2A7B">
        <w:rPr>
          <w:rFonts w:eastAsia="標楷體"/>
          <w:color w:val="1B1C1D"/>
        </w:rPr>
        <w:t xml:space="preserve"> </w:t>
      </w:r>
      <w:r w:rsidRPr="00AE2A7B">
        <w:rPr>
          <w:rFonts w:eastAsia="標楷體"/>
          <w:color w:val="1B1C1D"/>
        </w:rPr>
        <w:t>。</w:t>
      </w:r>
    </w:p>
    <w:p w14:paraId="106EE386" w14:textId="3E675B4E" w:rsidR="00810AD0" w:rsidRPr="00AE2A7B" w:rsidRDefault="00000000">
      <w:pPr>
        <w:numPr>
          <w:ilvl w:val="0"/>
          <w:numId w:val="12"/>
        </w:numPr>
        <w:pBdr>
          <w:top w:val="nil"/>
          <w:left w:val="nil"/>
          <w:bottom w:val="nil"/>
          <w:right w:val="nil"/>
          <w:between w:val="nil"/>
        </w:pBdr>
        <w:spacing w:line="275" w:lineRule="auto"/>
        <w:rPr>
          <w:rFonts w:eastAsia="標楷體"/>
        </w:rPr>
      </w:pPr>
      <w:r w:rsidRPr="00AE2A7B">
        <w:rPr>
          <w:rFonts w:eastAsia="標楷體"/>
          <w:b/>
          <w:color w:val="1B1C1D"/>
        </w:rPr>
        <w:t>連結現象與基礎原理</w:t>
      </w:r>
      <w:r w:rsidRPr="00AE2A7B">
        <w:rPr>
          <w:rFonts w:eastAsia="標楷體"/>
          <w:color w:val="1B1C1D"/>
        </w:rPr>
        <w:t>：將宏觀現象與基礎科學原理相連結，是理論深度的體現。例如，在探討含羞草（</w:t>
      </w:r>
      <w:r w:rsidRPr="00AE2A7B">
        <w:rPr>
          <w:rFonts w:eastAsia="標楷體"/>
          <w:i/>
          <w:color w:val="1B1C1D"/>
        </w:rPr>
        <w:t>Mimosa pudica</w:t>
      </w:r>
      <w:r w:rsidRPr="00AE2A7B">
        <w:rPr>
          <w:rFonts w:eastAsia="標楷體"/>
          <w:color w:val="1B1C1D"/>
        </w:rPr>
        <w:t>）觸發運動的研究中，團隊不僅觀察葉片閉合，更能將其連結至離子流動與膜電位動作訊號的產生與傳遞機制，展現了從現象到原理的完整邏輯鏈</w:t>
      </w:r>
      <w:r w:rsidRPr="00AE2A7B">
        <w:rPr>
          <w:rFonts w:eastAsia="標楷體"/>
          <w:color w:val="1B1C1D"/>
        </w:rPr>
        <w:t xml:space="preserve"> </w:t>
      </w:r>
      <w:r w:rsidRPr="00AE2A7B">
        <w:rPr>
          <w:rFonts w:eastAsia="標楷體"/>
          <w:color w:val="1B1C1D"/>
        </w:rPr>
        <w:t>。</w:t>
      </w:r>
    </w:p>
    <w:p w14:paraId="091B345F" w14:textId="1E268266" w:rsidR="00810AD0" w:rsidRPr="00AE2A7B" w:rsidRDefault="00000000">
      <w:pPr>
        <w:numPr>
          <w:ilvl w:val="0"/>
          <w:numId w:val="12"/>
        </w:numPr>
        <w:pBdr>
          <w:top w:val="nil"/>
          <w:left w:val="nil"/>
          <w:bottom w:val="nil"/>
          <w:right w:val="nil"/>
          <w:between w:val="nil"/>
        </w:pBdr>
        <w:spacing w:after="120" w:line="275" w:lineRule="auto"/>
        <w:rPr>
          <w:rFonts w:eastAsia="標楷體"/>
        </w:rPr>
      </w:pPr>
      <w:r w:rsidRPr="00AE2A7B">
        <w:rPr>
          <w:rFonts w:eastAsia="標楷體"/>
          <w:b/>
          <w:color w:val="1B1C1D"/>
        </w:rPr>
        <w:t>挑戰既有認知</w:t>
      </w:r>
      <w:r w:rsidRPr="00AE2A7B">
        <w:rPr>
          <w:rFonts w:eastAsia="標楷體"/>
          <w:color w:val="1B1C1D"/>
        </w:rPr>
        <w:t>：勇於對既有文獻或普遍觀念提出質疑並加以驗證，是科學進步的動力。一項探討「善意說謊傾向」與「同理心特質」關係的研究發現，兩者呈顯著正相關，此結果挑戰了傳統認為說謊行為會降低同理心的觀點，展現了研究的批判性思維與原創性貢獻</w:t>
      </w:r>
      <w:r w:rsidRPr="00AE2A7B">
        <w:rPr>
          <w:rFonts w:eastAsia="標楷體"/>
          <w:color w:val="1B1C1D"/>
        </w:rPr>
        <w:t xml:space="preserve"> </w:t>
      </w:r>
      <w:r w:rsidRPr="00AE2A7B">
        <w:rPr>
          <w:rFonts w:eastAsia="標楷體"/>
          <w:color w:val="1B1C1D"/>
        </w:rPr>
        <w:t>。</w:t>
      </w:r>
    </w:p>
    <w:p w14:paraId="73B4C5D3"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60179A42" w14:textId="46654C56"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2.3 </w:t>
      </w:r>
      <w:r w:rsidRPr="00AE2A7B">
        <w:rPr>
          <w:rFonts w:eastAsia="標楷體"/>
          <w:color w:val="1B1C1D"/>
        </w:rPr>
        <w:t>從概念到影響力：創新性與應用價值</w:t>
      </w:r>
    </w:p>
    <w:p w14:paraId="0485B12B" w14:textId="061123D8"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在科展的評選中，「創新」不僅指題材的新穎，更重要的是研究解決實際問題、貢獻社會價值的能力。這種創新性並非憑空而來，而是建立在與現有科學知識對話的基礎之上。一份詳盡的文獻回顧，清楚說明研究如何擴展、挑戰或填補既有研究的空白，是證明其創新價值的必要途徑。</w:t>
      </w:r>
    </w:p>
    <w:p w14:paraId="17EA7446" w14:textId="2FBB5C1C" w:rsidR="00810AD0" w:rsidRPr="00AE2A7B" w:rsidRDefault="00000000">
      <w:pPr>
        <w:numPr>
          <w:ilvl w:val="0"/>
          <w:numId w:val="13"/>
        </w:numPr>
        <w:pBdr>
          <w:top w:val="nil"/>
          <w:left w:val="nil"/>
          <w:bottom w:val="nil"/>
          <w:right w:val="nil"/>
          <w:between w:val="nil"/>
        </w:pBdr>
        <w:spacing w:line="275" w:lineRule="auto"/>
        <w:rPr>
          <w:rFonts w:eastAsia="標楷體"/>
        </w:rPr>
      </w:pPr>
      <w:r w:rsidRPr="00AE2A7B">
        <w:rPr>
          <w:rFonts w:eastAsia="標楷體"/>
          <w:b/>
          <w:color w:val="1B1C1D"/>
        </w:rPr>
        <w:t>環境永續與循環經濟</w:t>
      </w:r>
      <w:r w:rsidRPr="00AE2A7B">
        <w:rPr>
          <w:rFonts w:eastAsia="標楷體"/>
          <w:color w:val="1B1C1D"/>
        </w:rPr>
        <w:t>：許多獲獎作品緊扣全球性的永續發展議題。例如，利用黑水虻蛹殼此類農業廢棄物，萃取甲殼素以製作隔熱塗料；或將花生殼燒製成生物炭，作為減少化學肥料使用的替代方案。這些研究不僅具科學性，更體現了循環經濟的思維。</w:t>
      </w:r>
    </w:p>
    <w:p w14:paraId="187B5702" w14:textId="65424879" w:rsidR="00810AD0" w:rsidRPr="00AE2A7B" w:rsidRDefault="00000000">
      <w:pPr>
        <w:numPr>
          <w:ilvl w:val="0"/>
          <w:numId w:val="13"/>
        </w:numPr>
        <w:pBdr>
          <w:top w:val="nil"/>
          <w:left w:val="nil"/>
          <w:bottom w:val="nil"/>
          <w:right w:val="nil"/>
          <w:between w:val="nil"/>
        </w:pBdr>
        <w:spacing w:line="275" w:lineRule="auto"/>
        <w:rPr>
          <w:rFonts w:eastAsia="標楷體"/>
        </w:rPr>
      </w:pPr>
      <w:r w:rsidRPr="00AE2A7B">
        <w:rPr>
          <w:rFonts w:eastAsia="標楷體"/>
          <w:b/>
          <w:color w:val="1B1C1D"/>
        </w:rPr>
        <w:t>改善人類健康與生活品質</w:t>
      </w:r>
      <w:r w:rsidRPr="00AE2A7B">
        <w:rPr>
          <w:rFonts w:eastAsia="標楷體"/>
          <w:color w:val="1B1C1D"/>
        </w:rPr>
        <w:t>：直接回應社會需求的研究也備受青睞。例如，有研究證實，在教室內放置鐵線蕨能有效降低二氧化碳濃度，進而提升學生的專注度與學習成效；另有團隊開發出可食用的藥物包裝紙，旨在解決學童服藥吞嚥困難的問題，展現了高度的人文關懷與實用價值。</w:t>
      </w:r>
    </w:p>
    <w:p w14:paraId="4EC59655" w14:textId="4D4DA2B8" w:rsidR="00810AD0" w:rsidRPr="00AE2A7B" w:rsidRDefault="00000000">
      <w:pPr>
        <w:numPr>
          <w:ilvl w:val="0"/>
          <w:numId w:val="13"/>
        </w:numPr>
        <w:pBdr>
          <w:top w:val="nil"/>
          <w:left w:val="nil"/>
          <w:bottom w:val="nil"/>
          <w:right w:val="nil"/>
          <w:between w:val="nil"/>
        </w:pBdr>
        <w:spacing w:after="120" w:line="275" w:lineRule="auto"/>
        <w:rPr>
          <w:rFonts w:eastAsia="標楷體"/>
        </w:rPr>
      </w:pPr>
      <w:r w:rsidRPr="00AE2A7B">
        <w:rPr>
          <w:rFonts w:eastAsia="標楷體"/>
          <w:b/>
          <w:color w:val="1B1C1D"/>
        </w:rPr>
        <w:t>在地關懷與文化傳承</w:t>
      </w:r>
      <w:r w:rsidRPr="00AE2A7B">
        <w:rPr>
          <w:rFonts w:eastAsia="標楷體"/>
          <w:color w:val="1B1C1D"/>
        </w:rPr>
        <w:t>：將科學方法應用於在地特有生態或傳統知識，亦是創新的重要體現。例如，有研究致力於驗證台灣原住民族鄒族利用葛藤促進凝血的傳統知識，為現代醫學應用提供了實證基礎。另一項突破性的研究則發現，台灣本土的蚵蛭在捕食時會射出「離體咽」進行攻擊，此一發現在動物行為學中極為罕見，彰顯了在地生物研究的獨特價值。</w:t>
      </w:r>
    </w:p>
    <w:p w14:paraId="0D2513F9"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46C58670" w14:textId="36683E84" w:rsidR="00810AD0" w:rsidRPr="00AE2A7B" w:rsidRDefault="00000000" w:rsidP="00AE2A7B">
      <w:pPr>
        <w:pStyle w:val="3"/>
        <w:spacing w:before="0" w:after="120" w:line="275" w:lineRule="auto"/>
        <w:rPr>
          <w:rFonts w:eastAsia="標楷體"/>
          <w:color w:val="1B1C1D"/>
        </w:rPr>
      </w:pPr>
      <w:r w:rsidRPr="00AE2A7B">
        <w:rPr>
          <w:rFonts w:eastAsia="標楷體"/>
          <w:color w:val="1B1C1D"/>
        </w:rPr>
        <w:lastRenderedPageBreak/>
        <w:t xml:space="preserve">2.4 </w:t>
      </w:r>
      <w:r w:rsidRPr="00AE2A7B">
        <w:rPr>
          <w:rFonts w:eastAsia="標楷體"/>
          <w:color w:val="1B1C1D"/>
        </w:rPr>
        <w:t>科學精神的體現：誠信、堅毅與溝通</w:t>
      </w:r>
    </w:p>
    <w:p w14:paraId="22C3412B"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除了研究成果本身，評審同樣重視研究者在過程中展現的科學態度與專業素養。這些特質共同構成了一項研究的「科學成熟度」，評審並非僅檢視單一項目的卓越，而是對研究從方法、理論到呈現的整體水平進行綜合評估。一個想法新穎但數據有瑕疵，或數據完美卻缺乏理論解釋的作品，都難以被視為成熟的科學研究。</w:t>
      </w:r>
    </w:p>
    <w:p w14:paraId="37A7D73A" w14:textId="3D792932" w:rsidR="00810AD0" w:rsidRPr="00AE2A7B" w:rsidRDefault="00000000">
      <w:pPr>
        <w:numPr>
          <w:ilvl w:val="0"/>
          <w:numId w:val="14"/>
        </w:numPr>
        <w:pBdr>
          <w:top w:val="nil"/>
          <w:left w:val="nil"/>
          <w:bottom w:val="nil"/>
          <w:right w:val="nil"/>
          <w:between w:val="nil"/>
        </w:pBdr>
        <w:spacing w:line="275" w:lineRule="auto"/>
        <w:rPr>
          <w:rFonts w:eastAsia="標楷體"/>
        </w:rPr>
      </w:pPr>
      <w:r w:rsidRPr="00AE2A7B">
        <w:rPr>
          <w:rFonts w:eastAsia="標楷體"/>
          <w:b/>
          <w:color w:val="1B1C1D"/>
        </w:rPr>
        <w:t>堅毅不拔的探究精神</w:t>
      </w:r>
      <w:r w:rsidRPr="00AE2A7B">
        <w:rPr>
          <w:rFonts w:eastAsia="標楷體"/>
          <w:color w:val="1B1C1D"/>
        </w:rPr>
        <w:t>：評審高度肯定學生在面對實驗挫折與壓力時所展現的「堅毅不拔」的態度。許多得獎感言中都提及，研究過程充滿挑戰，最終憑藉對科學的熱忱與毅力才得以完成。</w:t>
      </w:r>
    </w:p>
    <w:p w14:paraId="3CF8A649" w14:textId="42CAB959" w:rsidR="00810AD0" w:rsidRPr="00AE2A7B" w:rsidRDefault="00000000">
      <w:pPr>
        <w:numPr>
          <w:ilvl w:val="0"/>
          <w:numId w:val="14"/>
        </w:numPr>
        <w:pBdr>
          <w:top w:val="nil"/>
          <w:left w:val="nil"/>
          <w:bottom w:val="nil"/>
          <w:right w:val="nil"/>
          <w:between w:val="nil"/>
        </w:pBdr>
        <w:spacing w:line="275" w:lineRule="auto"/>
        <w:rPr>
          <w:rFonts w:eastAsia="標楷體"/>
        </w:rPr>
      </w:pPr>
      <w:r w:rsidRPr="00AE2A7B">
        <w:rPr>
          <w:rFonts w:eastAsia="標楷體"/>
          <w:b/>
          <w:color w:val="1B1C1D"/>
        </w:rPr>
        <w:t>研究誠信與詳實記錄</w:t>
      </w:r>
      <w:r w:rsidRPr="00AE2A7B">
        <w:rPr>
          <w:rFonts w:eastAsia="標楷體"/>
          <w:color w:val="1B1C1D"/>
        </w:rPr>
        <w:t>：一份完整的報告，包含周詳的文獻回顧、有條理的研究架構，以及清晰的實驗記錄，是科學誠信的基礎。歷屆評審總評反覆強調，得獎作品在說明書寫作、邏輯推理與數據分析方面通常有相當程度的進步。</w:t>
      </w:r>
    </w:p>
    <w:p w14:paraId="2A100CAC" w14:textId="7A854E7F" w:rsidR="00810AD0" w:rsidRPr="00AE2A7B" w:rsidRDefault="00000000">
      <w:pPr>
        <w:numPr>
          <w:ilvl w:val="0"/>
          <w:numId w:val="14"/>
        </w:numPr>
        <w:pBdr>
          <w:top w:val="nil"/>
          <w:left w:val="nil"/>
          <w:bottom w:val="nil"/>
          <w:right w:val="nil"/>
          <w:between w:val="nil"/>
        </w:pBdr>
        <w:spacing w:after="120" w:line="275" w:lineRule="auto"/>
        <w:rPr>
          <w:rFonts w:eastAsia="標楷體"/>
        </w:rPr>
      </w:pPr>
      <w:r w:rsidRPr="00AE2A7B">
        <w:rPr>
          <w:rFonts w:eastAsia="標楷體"/>
          <w:b/>
          <w:color w:val="1B1C1D"/>
        </w:rPr>
        <w:t>有效的科學溝通</w:t>
      </w:r>
      <w:r w:rsidRPr="00AE2A7B">
        <w:rPr>
          <w:rFonts w:eastAsia="標楷體"/>
          <w:color w:val="1B1C1D"/>
        </w:rPr>
        <w:t>：清晰地闡述研究問題、方法、結果與其重要性，是所有成功研究的共同特徵。無論是書面報告或現場問答，優異的溝通能力都是獲取評審認可的關鍵。</w:t>
      </w:r>
    </w:p>
    <w:p w14:paraId="44C2E745" w14:textId="77777777" w:rsidR="00810AD0" w:rsidRPr="00AE2A7B" w:rsidRDefault="00000000">
      <w:pPr>
        <w:pBdr>
          <w:top w:val="nil"/>
          <w:left w:val="nil"/>
          <w:bottom w:val="nil"/>
          <w:right w:val="nil"/>
          <w:between w:val="nil"/>
        </w:pBdr>
        <w:spacing w:before="240" w:after="240" w:line="275" w:lineRule="auto"/>
        <w:rPr>
          <w:rFonts w:eastAsia="標楷體"/>
          <w:b/>
          <w:color w:val="1B1C1D"/>
        </w:rPr>
      </w:pPr>
      <w:r w:rsidRPr="00AE2A7B">
        <w:rPr>
          <w:rFonts w:eastAsia="標楷體"/>
          <w:b/>
          <w:color w:val="1B1C1D"/>
        </w:rPr>
        <w:t>表</w:t>
      </w:r>
      <w:r w:rsidRPr="00AE2A7B">
        <w:rPr>
          <w:rFonts w:eastAsia="標楷體"/>
          <w:b/>
          <w:color w:val="1B1C1D"/>
        </w:rPr>
        <w:t>1</w:t>
      </w:r>
      <w:r w:rsidRPr="00AE2A7B">
        <w:rPr>
          <w:rFonts w:eastAsia="標楷體"/>
          <w:b/>
          <w:color w:val="1B1C1D"/>
        </w:rPr>
        <w:t>：跨學科獲獎作品的成功標誌</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10AD0" w:rsidRPr="00AE2A7B" w14:paraId="6C5D4CC5" w14:textId="77777777" w:rsidTr="00AE2A7B">
        <w:tc>
          <w:tcPr>
            <w:tcW w:w="312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120" w:type="dxa"/>
              <w:left w:w="180" w:type="dxa"/>
              <w:bottom w:w="120" w:type="dxa"/>
              <w:right w:w="180" w:type="dxa"/>
            </w:tcMar>
          </w:tcPr>
          <w:p w14:paraId="042F122B"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核心支柱</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120" w:type="dxa"/>
              <w:left w:w="180" w:type="dxa"/>
              <w:bottom w:w="120" w:type="dxa"/>
              <w:right w:w="180" w:type="dxa"/>
            </w:tcMar>
          </w:tcPr>
          <w:p w14:paraId="1CD8B5C5"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具體屬性</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120" w:type="dxa"/>
              <w:left w:w="180" w:type="dxa"/>
              <w:bottom w:w="120" w:type="dxa"/>
              <w:right w:w="180" w:type="dxa"/>
            </w:tcMar>
          </w:tcPr>
          <w:p w14:paraId="40C1F83F"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說明</w:t>
            </w:r>
          </w:p>
        </w:tc>
      </w:tr>
      <w:tr w:rsidR="00810AD0" w:rsidRPr="00AE2A7B" w14:paraId="27BAA953" w14:textId="77777777" w:rsidTr="00AE2A7B">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571122"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方法嚴謹性</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393105"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量化測量、統計驗證、變因控制</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1A8DB2"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確保研究結論建立在客觀、可重複的數據基礎之上，是科學可信度的根本。</w:t>
            </w:r>
          </w:p>
        </w:tc>
      </w:tr>
      <w:tr w:rsidR="00810AD0" w:rsidRPr="00AE2A7B" w14:paraId="517E88CA" w14:textId="77777777" w:rsidTr="00AE2A7B">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FEAFD1"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機制深度</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ABB686"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解釋機制、連結理論、挑戰既有認知</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86051B"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從描述現象提升至解釋現象背後的科學原理，展現研究的學術價值與深度。</w:t>
            </w:r>
          </w:p>
        </w:tc>
      </w:tr>
      <w:tr w:rsidR="00810AD0" w:rsidRPr="00AE2A7B" w14:paraId="03843845" w14:textId="77777777" w:rsidTr="00AE2A7B">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529F1F"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應用影響力</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AF5E20"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解決實際問題、具備應用潛力、在地連結</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BAC0D3"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強調研究與真實世界的連結，證明其不僅是學術探索，更能帶來社會或技術價值。</w:t>
            </w:r>
          </w:p>
        </w:tc>
      </w:tr>
      <w:tr w:rsidR="00810AD0" w:rsidRPr="00AE2A7B" w14:paraId="3CDEB074" w14:textId="77777777" w:rsidTr="00AE2A7B">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6F6BD6"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科學精神</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88B023"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過程完整性、記錄規範、堅毅態度、有效溝通</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D9D575"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體現研究者作為科學家的專業素養與倫理，確保研究過程的透明與可信。</w:t>
            </w:r>
          </w:p>
        </w:tc>
      </w:tr>
    </w:tbl>
    <w:p w14:paraId="46241D42" w14:textId="77777777" w:rsidR="00810AD0" w:rsidRPr="00AE2A7B" w:rsidRDefault="00810AD0">
      <w:pPr>
        <w:pBdr>
          <w:top w:val="nil"/>
          <w:left w:val="nil"/>
          <w:bottom w:val="nil"/>
          <w:right w:val="nil"/>
          <w:between w:val="nil"/>
        </w:pBdr>
        <w:spacing w:before="480" w:after="240" w:line="275" w:lineRule="auto"/>
        <w:rPr>
          <w:rFonts w:eastAsia="標楷體"/>
          <w:color w:val="1B1C1D"/>
        </w:rPr>
      </w:pPr>
    </w:p>
    <w:p w14:paraId="2EED8C5F" w14:textId="73E61F6F" w:rsidR="00810AD0" w:rsidRPr="00AE2A7B" w:rsidRDefault="00000000" w:rsidP="00AE2A7B">
      <w:pPr>
        <w:pStyle w:val="2"/>
        <w:spacing w:before="0" w:after="120" w:line="275" w:lineRule="auto"/>
        <w:rPr>
          <w:rFonts w:eastAsia="標楷體"/>
          <w:color w:val="1B1C1D"/>
        </w:rPr>
      </w:pPr>
      <w:r w:rsidRPr="00AE2A7B">
        <w:rPr>
          <w:rFonts w:eastAsia="標楷體"/>
          <w:color w:val="1B1C1D"/>
        </w:rPr>
        <w:lastRenderedPageBreak/>
        <w:t>第三章：常見陷阱與未獲獎作品原因分析</w:t>
      </w:r>
    </w:p>
    <w:p w14:paraId="6A2ED4AD" w14:textId="77777777" w:rsidR="00810AD0" w:rsidRPr="00AE2A7B" w:rsidRDefault="00000000">
      <w:pPr>
        <w:pBdr>
          <w:top w:val="nil"/>
          <w:left w:val="nil"/>
          <w:bottom w:val="nil"/>
          <w:right w:val="nil"/>
          <w:between w:val="nil"/>
        </w:pBdr>
        <w:spacing w:after="240" w:line="275" w:lineRule="auto"/>
        <w:rPr>
          <w:rFonts w:eastAsia="標楷體"/>
          <w:color w:val="1B1C1D"/>
        </w:rPr>
      </w:pPr>
      <w:r w:rsidRPr="00AE2A7B">
        <w:rPr>
          <w:rFonts w:eastAsia="標楷體"/>
          <w:color w:val="1B1C1D"/>
        </w:rPr>
        <w:t>本章節旨在提供一個診斷框架，用以識別並避免那些最常限制作品競爭力的錯誤。這些反覆出現的缺失，不僅是個別學生的失誤，更可能反映出科學教育在教學方法上存在的系統性差距，即過度強調程序的執行（「動手做」），而忽略了科學思維的培養（「動腦想」）。</w:t>
      </w:r>
    </w:p>
    <w:p w14:paraId="21A1EB95" w14:textId="77777777" w:rsidR="00810AD0" w:rsidRPr="00AE2A7B" w:rsidRDefault="00810AD0">
      <w:pPr>
        <w:pBdr>
          <w:top w:val="nil"/>
          <w:left w:val="nil"/>
          <w:bottom w:val="nil"/>
          <w:right w:val="nil"/>
          <w:between w:val="nil"/>
        </w:pBdr>
        <w:spacing w:after="240" w:line="275" w:lineRule="auto"/>
        <w:rPr>
          <w:rFonts w:eastAsia="標楷體"/>
          <w:color w:val="1B1C1D"/>
        </w:rPr>
      </w:pPr>
    </w:p>
    <w:p w14:paraId="7490370F" w14:textId="5E50EDD8"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3.1 </w:t>
      </w:r>
      <w:r w:rsidRPr="00AE2A7B">
        <w:rPr>
          <w:rFonts w:eastAsia="標楷體"/>
          <w:color w:val="1B1C1D"/>
        </w:rPr>
        <w:t>基礎性缺陷：實驗設計與數據處理的瑕疵</w:t>
      </w:r>
    </w:p>
    <w:p w14:paraId="5B9D3A0D"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此為最常見且最致命的技術性錯誤，直接動搖研究結論的根基。</w:t>
      </w:r>
    </w:p>
    <w:p w14:paraId="39C8EB73" w14:textId="77777777" w:rsidR="00810AD0" w:rsidRPr="00AE2A7B" w:rsidRDefault="00000000">
      <w:pPr>
        <w:numPr>
          <w:ilvl w:val="0"/>
          <w:numId w:val="15"/>
        </w:numPr>
        <w:pBdr>
          <w:top w:val="nil"/>
          <w:left w:val="nil"/>
          <w:bottom w:val="nil"/>
          <w:right w:val="nil"/>
          <w:between w:val="nil"/>
        </w:pBdr>
        <w:spacing w:line="275" w:lineRule="auto"/>
        <w:rPr>
          <w:rFonts w:eastAsia="標楷體"/>
        </w:rPr>
      </w:pPr>
      <w:r w:rsidRPr="00AE2A7B">
        <w:rPr>
          <w:rFonts w:eastAsia="標楷體"/>
          <w:b/>
          <w:color w:val="1B1C1D"/>
        </w:rPr>
        <w:t>樣本數不足與缺乏重複性</w:t>
      </w:r>
      <w:r w:rsidRPr="00AE2A7B">
        <w:rPr>
          <w:rFonts w:eastAsia="標楷體"/>
          <w:color w:val="1B1C1D"/>
        </w:rPr>
        <w:t>：在生命科學與環境科學領域，這是最被詬病的缺陷。生物系統的內在高變異性，使得小樣本或單次實驗的結果不具備統計代表性，無法支持任何有效結論</w:t>
      </w:r>
      <w:r w:rsidRPr="00AE2A7B">
        <w:rPr>
          <w:rFonts w:eastAsia="標楷體"/>
          <w:color w:val="1B1C1D"/>
        </w:rPr>
        <w:t xml:space="preserve"> </w:t>
      </w:r>
      <w:r w:rsidRPr="00AE2A7B">
        <w:rPr>
          <w:rFonts w:eastAsia="標楷體"/>
          <w:color w:val="444746"/>
          <w:sz w:val="24"/>
          <w:szCs w:val="24"/>
          <w:vertAlign w:val="superscript"/>
        </w:rPr>
        <w:t>3</w:t>
      </w:r>
      <w:r w:rsidRPr="00AE2A7B">
        <w:rPr>
          <w:rFonts w:eastAsia="標楷體"/>
          <w:color w:val="1B1C1D"/>
        </w:rPr>
        <w:t>。</w:t>
      </w:r>
    </w:p>
    <w:p w14:paraId="6BFD75BD" w14:textId="500E58BC" w:rsidR="00810AD0" w:rsidRPr="00AE2A7B" w:rsidRDefault="00000000">
      <w:pPr>
        <w:numPr>
          <w:ilvl w:val="0"/>
          <w:numId w:val="15"/>
        </w:numPr>
        <w:pBdr>
          <w:top w:val="nil"/>
          <w:left w:val="nil"/>
          <w:bottom w:val="nil"/>
          <w:right w:val="nil"/>
          <w:between w:val="nil"/>
        </w:pBdr>
        <w:spacing w:line="275" w:lineRule="auto"/>
        <w:rPr>
          <w:rFonts w:eastAsia="標楷體"/>
        </w:rPr>
      </w:pPr>
      <w:r w:rsidRPr="00AE2A7B">
        <w:rPr>
          <w:rFonts w:eastAsia="標楷體"/>
          <w:b/>
          <w:color w:val="1B1C1D"/>
        </w:rPr>
        <w:t>數據處理不當與呈現粗糙</w:t>
      </w:r>
      <w:r w:rsidRPr="00AE2A7B">
        <w:rPr>
          <w:rFonts w:eastAsia="標楷體"/>
          <w:color w:val="1B1C1D"/>
        </w:rPr>
        <w:t>：評審對於普遍存在的數據處理問題表示擔憂，包括僅呈現未經分析的原始數據、從數據到結論的推論薄弱，以及一種令人憂心的習慣</w:t>
      </w:r>
      <w:r w:rsidRPr="00AE2A7B">
        <w:rPr>
          <w:rFonts w:eastAsia="標楷體"/>
          <w:color w:val="1B1C1D"/>
        </w:rPr>
        <w:t>—</w:t>
      </w:r>
      <w:r w:rsidRPr="00AE2A7B">
        <w:rPr>
          <w:rFonts w:eastAsia="標楷體"/>
          <w:b/>
          <w:color w:val="1B1C1D"/>
        </w:rPr>
        <w:t>「選擇數據」</w:t>
      </w:r>
      <w:r w:rsidRPr="00AE2A7B">
        <w:rPr>
          <w:rFonts w:eastAsia="標楷體"/>
          <w:color w:val="1B1C1D"/>
        </w:rPr>
        <w:t>（即排除或隱藏不符合預期的結果）。此舉嚴重違背了科學客觀性的基本原則。</w:t>
      </w:r>
    </w:p>
    <w:p w14:paraId="759AC121" w14:textId="28D664DF" w:rsidR="00810AD0" w:rsidRPr="00AE2A7B" w:rsidRDefault="00000000">
      <w:pPr>
        <w:numPr>
          <w:ilvl w:val="0"/>
          <w:numId w:val="15"/>
        </w:numPr>
        <w:pBdr>
          <w:top w:val="nil"/>
          <w:left w:val="nil"/>
          <w:bottom w:val="nil"/>
          <w:right w:val="nil"/>
          <w:between w:val="nil"/>
        </w:pBdr>
        <w:spacing w:after="120" w:line="275" w:lineRule="auto"/>
        <w:rPr>
          <w:rFonts w:eastAsia="標楷體"/>
        </w:rPr>
      </w:pPr>
      <w:r w:rsidRPr="00AE2A7B">
        <w:rPr>
          <w:rFonts w:eastAsia="標楷體"/>
          <w:b/>
          <w:color w:val="1B1C1D"/>
        </w:rPr>
        <w:t>缺乏儀器校正</w:t>
      </w:r>
      <w:r w:rsidRPr="00AE2A7B">
        <w:rPr>
          <w:rFonts w:eastAsia="標楷體"/>
          <w:color w:val="1B1C1D"/>
        </w:rPr>
        <w:t>：許多團隊使用自製儀器進行測量，這本身值得鼓勵，但普遍的疏漏在於未能對這些儀器進行校正或驗證其準確性。未經校正的儀器所產出的所有數據，其可信度都將受到質疑。</w:t>
      </w:r>
    </w:p>
    <w:p w14:paraId="4CEFF75D"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48A1FDFC" w14:textId="43E8999A"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3.2 </w:t>
      </w:r>
      <w:r w:rsidRPr="00AE2A7B">
        <w:rPr>
          <w:rFonts w:eastAsia="標楷體"/>
          <w:color w:val="1B1C1D"/>
        </w:rPr>
        <w:t>表面化探究：理論深度與創新性的匱乏</w:t>
      </w:r>
    </w:p>
    <w:p w14:paraId="099998F9"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未能將實驗工作與科學理論有效連結，是導致研究流於表面化的主因。</w:t>
      </w:r>
    </w:p>
    <w:p w14:paraId="648E3590" w14:textId="7BB3A4F1" w:rsidR="00810AD0" w:rsidRPr="00AE2A7B" w:rsidRDefault="00000000">
      <w:pPr>
        <w:numPr>
          <w:ilvl w:val="0"/>
          <w:numId w:val="16"/>
        </w:numPr>
        <w:pBdr>
          <w:top w:val="nil"/>
          <w:left w:val="nil"/>
          <w:bottom w:val="nil"/>
          <w:right w:val="nil"/>
          <w:between w:val="nil"/>
        </w:pBdr>
        <w:spacing w:line="275" w:lineRule="auto"/>
        <w:rPr>
          <w:rFonts w:eastAsia="標楷體"/>
        </w:rPr>
      </w:pPr>
      <w:r w:rsidRPr="00AE2A7B">
        <w:rPr>
          <w:rFonts w:eastAsia="標楷體"/>
          <w:b/>
          <w:color w:val="1B1C1D"/>
        </w:rPr>
        <w:t>「動手」與「動腦」的差距</w:t>
      </w:r>
      <w:r w:rsidRPr="00AE2A7B">
        <w:rPr>
          <w:rFonts w:eastAsia="標楷體"/>
          <w:color w:val="1B1C1D"/>
        </w:rPr>
        <w:t>：評審一致感嘆，學生在實驗操作（動手）層面表現出色，但在理論分析、連結基礎原理（動腦）方面則普遍薄弱。許多作品僅停留在描述實驗結果，卻未能深入解釋其背後的物理或生化機制。</w:t>
      </w:r>
    </w:p>
    <w:p w14:paraId="3EA9BC7D" w14:textId="6141385D" w:rsidR="00810AD0" w:rsidRPr="00AE2A7B" w:rsidRDefault="00000000">
      <w:pPr>
        <w:numPr>
          <w:ilvl w:val="0"/>
          <w:numId w:val="16"/>
        </w:numPr>
        <w:pBdr>
          <w:top w:val="nil"/>
          <w:left w:val="nil"/>
          <w:bottom w:val="nil"/>
          <w:right w:val="nil"/>
          <w:between w:val="nil"/>
        </w:pBdr>
        <w:spacing w:line="275" w:lineRule="auto"/>
        <w:rPr>
          <w:rFonts w:eastAsia="標楷體"/>
        </w:rPr>
      </w:pPr>
      <w:r w:rsidRPr="00AE2A7B">
        <w:rPr>
          <w:rFonts w:eastAsia="標楷體"/>
          <w:b/>
          <w:color w:val="1B1C1D"/>
        </w:rPr>
        <w:t>未能闡明創新點</w:t>
      </w:r>
      <w:r w:rsidRPr="00AE2A7B">
        <w:rPr>
          <w:rFonts w:eastAsia="標楷體"/>
          <w:color w:val="1B1C1D"/>
        </w:rPr>
        <w:t>：作品的失敗往往源於未能將其研究置於現有科學文獻的脈絡中。研究者沒有清楚說明其工作與前人研究的差異，未能論證其研究的新穎性或在更廣泛的科學領域中的重要性。</w:t>
      </w:r>
    </w:p>
    <w:p w14:paraId="10B0E5D3" w14:textId="39CC9714" w:rsidR="00810AD0" w:rsidRPr="00AE2A7B" w:rsidRDefault="00000000">
      <w:pPr>
        <w:numPr>
          <w:ilvl w:val="0"/>
          <w:numId w:val="16"/>
        </w:numPr>
        <w:pBdr>
          <w:top w:val="nil"/>
          <w:left w:val="nil"/>
          <w:bottom w:val="nil"/>
          <w:right w:val="nil"/>
          <w:between w:val="nil"/>
        </w:pBdr>
        <w:spacing w:after="120" w:line="275" w:lineRule="auto"/>
        <w:rPr>
          <w:rFonts w:eastAsia="標楷體"/>
        </w:rPr>
      </w:pPr>
      <w:r w:rsidRPr="00AE2A7B">
        <w:rPr>
          <w:rFonts w:eastAsia="標楷體"/>
          <w:b/>
          <w:color w:val="1B1C1D"/>
        </w:rPr>
        <w:t>忽視研究限制</w:t>
      </w:r>
      <w:r w:rsidRPr="00AE2A7B">
        <w:rPr>
          <w:rFonts w:eastAsia="標楷體"/>
          <w:color w:val="1B1C1D"/>
        </w:rPr>
        <w:t>：一個嚴重的科學錯誤是，未能誠實地討論簡化實驗（如實驗室環境）與複雜真實世界之間的差異，及其對研究結論應用性的限制。這種忽視會大幅削弱研究的說服力。</w:t>
      </w:r>
    </w:p>
    <w:p w14:paraId="6D6D7E08"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4A8ABE38" w14:textId="78CCBE84"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3.3 </w:t>
      </w:r>
      <w:r w:rsidRPr="00AE2A7B">
        <w:rPr>
          <w:rFonts w:eastAsia="標楷體"/>
          <w:color w:val="1B1C1D"/>
        </w:rPr>
        <w:t>違反研究規程：過程記錄與報告的問題</w:t>
      </w:r>
    </w:p>
    <w:p w14:paraId="47B04575"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程序性與倫理性的疏失，會讓評審對整個研究的嚴謹性產生懷疑。</w:t>
      </w:r>
    </w:p>
    <w:p w14:paraId="50656E8C" w14:textId="16E663F4" w:rsidR="00810AD0" w:rsidRPr="00AE2A7B" w:rsidRDefault="00000000">
      <w:pPr>
        <w:numPr>
          <w:ilvl w:val="0"/>
          <w:numId w:val="17"/>
        </w:numPr>
        <w:pBdr>
          <w:top w:val="nil"/>
          <w:left w:val="nil"/>
          <w:bottom w:val="nil"/>
          <w:right w:val="nil"/>
          <w:between w:val="nil"/>
        </w:pBdr>
        <w:spacing w:line="275" w:lineRule="auto"/>
        <w:rPr>
          <w:rFonts w:eastAsia="標楷體"/>
        </w:rPr>
      </w:pPr>
      <w:r w:rsidRPr="00AE2A7B">
        <w:rPr>
          <w:rFonts w:eastAsia="標楷體"/>
          <w:b/>
          <w:color w:val="1B1C1D"/>
        </w:rPr>
        <w:t>實驗記錄本的關鍵性失敗</w:t>
      </w:r>
      <w:r w:rsidRPr="00AE2A7B">
        <w:rPr>
          <w:rFonts w:eastAsia="標楷體"/>
          <w:color w:val="1B1C1D"/>
        </w:rPr>
        <w:t>：實驗記錄本被反覆強調為一大弱項。評審對記錄本的嚴格要求，</w:t>
      </w:r>
      <w:r w:rsidRPr="00AE2A7B">
        <w:rPr>
          <w:rFonts w:eastAsia="標楷體"/>
          <w:color w:val="1B1C1D"/>
        </w:rPr>
        <w:lastRenderedPageBreak/>
        <w:t>揭示其不僅被視為一份單純的記錄，更是研究真實性與誠信度的核心文件。常見的錯誤，如使用鉛筆（暗示數據可被輕易修改）、使用活頁夾（暗示記錄非即時且可能遺失），以及缺乏日期，都嚴重影響了研究過程的可追溯性與可信度。一份有瑕疵的記錄本，會讓評審對數據的真實性乃至整個研究的誠信產生質疑。</w:t>
      </w:r>
    </w:p>
    <w:p w14:paraId="5E4ED0EA" w14:textId="3C658FEC" w:rsidR="00810AD0" w:rsidRPr="00AE2A7B" w:rsidRDefault="00000000">
      <w:pPr>
        <w:numPr>
          <w:ilvl w:val="0"/>
          <w:numId w:val="17"/>
        </w:numPr>
        <w:pBdr>
          <w:top w:val="nil"/>
          <w:left w:val="nil"/>
          <w:bottom w:val="nil"/>
          <w:right w:val="nil"/>
          <w:between w:val="nil"/>
        </w:pBdr>
        <w:spacing w:after="120" w:line="275" w:lineRule="auto"/>
        <w:rPr>
          <w:rFonts w:eastAsia="標楷體"/>
        </w:rPr>
      </w:pPr>
      <w:r w:rsidRPr="00AE2A7B">
        <w:rPr>
          <w:rFonts w:eastAsia="標楷體"/>
          <w:b/>
          <w:color w:val="1B1C1D"/>
        </w:rPr>
        <w:t>違反研究倫理</w:t>
      </w:r>
      <w:r w:rsidRPr="00AE2A7B">
        <w:rPr>
          <w:rFonts w:eastAsia="標楷體"/>
          <w:color w:val="1B1C1D"/>
        </w:rPr>
        <w:t>：在資訊唾手可得的網路時代，評審特別指出部分學生在進行文獻回顧時，未能充分消化資訊並以自己的文字重新表述，或未能正確引用來源，構成了抄襲或違反學術倫理的行為。</w:t>
      </w:r>
    </w:p>
    <w:p w14:paraId="10B19BF8"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435A09ED" w14:textId="1F4F2A33"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3.4 </w:t>
      </w:r>
      <w:r w:rsidRPr="00AE2A7B">
        <w:rPr>
          <w:rFonts w:eastAsia="標楷體"/>
          <w:color w:val="1B1C1D"/>
        </w:rPr>
        <w:t>「所以呢？」問題：對實用性與影響力的評估不足</w:t>
      </w:r>
    </w:p>
    <w:p w14:paraId="703BA375"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此問題在應用科學與工程學科中尤為突出，研究未能回答其最終的價值所在。</w:t>
      </w:r>
    </w:p>
    <w:p w14:paraId="3AFAC1F4" w14:textId="58B86FD6" w:rsidR="00810AD0" w:rsidRPr="00AE2A7B" w:rsidRDefault="00000000">
      <w:pPr>
        <w:numPr>
          <w:ilvl w:val="0"/>
          <w:numId w:val="18"/>
        </w:numPr>
        <w:pBdr>
          <w:top w:val="nil"/>
          <w:left w:val="nil"/>
          <w:bottom w:val="nil"/>
          <w:right w:val="nil"/>
          <w:between w:val="nil"/>
        </w:pBdr>
        <w:spacing w:line="275" w:lineRule="auto"/>
        <w:rPr>
          <w:rFonts w:eastAsia="標楷體"/>
        </w:rPr>
      </w:pPr>
      <w:r w:rsidRPr="00AE2A7B">
        <w:rPr>
          <w:rFonts w:eastAsia="標楷體"/>
          <w:b/>
          <w:color w:val="1B1C1D"/>
        </w:rPr>
        <w:t>缺乏量化基準比較</w:t>
      </w:r>
      <w:r w:rsidRPr="00AE2A7B">
        <w:rPr>
          <w:rFonts w:eastAsia="標楷體"/>
          <w:color w:val="1B1C1D"/>
        </w:rPr>
        <w:t>：應用型作品常常未能提供對其發明或改良技術的效益進行量化評估，也未能與市面上現有的技術或產品進行性能比較。這使得評審無法判斷其宣稱的價值與創新性是否成立。</w:t>
      </w:r>
    </w:p>
    <w:p w14:paraId="40EF909F" w14:textId="4CD300DD" w:rsidR="00810AD0" w:rsidRPr="00AE2A7B" w:rsidRDefault="00000000">
      <w:pPr>
        <w:numPr>
          <w:ilvl w:val="0"/>
          <w:numId w:val="18"/>
        </w:numPr>
        <w:pBdr>
          <w:top w:val="nil"/>
          <w:left w:val="nil"/>
          <w:bottom w:val="nil"/>
          <w:right w:val="nil"/>
          <w:between w:val="nil"/>
        </w:pBdr>
        <w:spacing w:after="120" w:line="275" w:lineRule="auto"/>
        <w:rPr>
          <w:rFonts w:eastAsia="標楷體"/>
        </w:rPr>
      </w:pPr>
      <w:r w:rsidRPr="00AE2A7B">
        <w:rPr>
          <w:rFonts w:eastAsia="標楷體"/>
          <w:b/>
          <w:color w:val="1B1C1D"/>
        </w:rPr>
        <w:t>缺乏前瞻性評估</w:t>
      </w:r>
      <w:r w:rsidRPr="00AE2A7B">
        <w:rPr>
          <w:rFonts w:eastAsia="標楷體"/>
          <w:color w:val="1B1C1D"/>
        </w:rPr>
        <w:t>：許多研究在設計階段就未能充分評估其產業應用的可行性或未來的發展潛力，導致研究與實際需求脫節。</w:t>
      </w:r>
    </w:p>
    <w:p w14:paraId="418BFB94" w14:textId="77777777" w:rsidR="00810AD0" w:rsidRPr="00AE2A7B" w:rsidRDefault="00000000">
      <w:pPr>
        <w:pBdr>
          <w:top w:val="nil"/>
          <w:left w:val="nil"/>
          <w:bottom w:val="nil"/>
          <w:right w:val="nil"/>
          <w:between w:val="nil"/>
        </w:pBdr>
        <w:spacing w:before="240" w:after="240" w:line="275" w:lineRule="auto"/>
        <w:rPr>
          <w:rFonts w:eastAsia="標楷體"/>
          <w:b/>
          <w:color w:val="1B1C1D"/>
        </w:rPr>
      </w:pPr>
      <w:r w:rsidRPr="00AE2A7B">
        <w:rPr>
          <w:rFonts w:eastAsia="標楷體"/>
          <w:b/>
          <w:color w:val="1B1C1D"/>
        </w:rPr>
        <w:t>表</w:t>
      </w:r>
      <w:r w:rsidRPr="00AE2A7B">
        <w:rPr>
          <w:rFonts w:eastAsia="標楷體"/>
          <w:b/>
          <w:color w:val="1B1C1D"/>
        </w:rPr>
        <w:t>2</w:t>
      </w:r>
      <w:r w:rsidRPr="00AE2A7B">
        <w:rPr>
          <w:rFonts w:eastAsia="標楷體"/>
          <w:b/>
          <w:color w:val="1B1C1D"/>
        </w:rPr>
        <w:t>：未獲獎作品的關鍵缺失診斷</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52"/>
        <w:gridCol w:w="3685"/>
        <w:gridCol w:w="4123"/>
      </w:tblGrid>
      <w:tr w:rsidR="00810AD0" w:rsidRPr="00AE2A7B" w14:paraId="33F09876" w14:textId="77777777" w:rsidTr="00AE2A7B">
        <w:tc>
          <w:tcPr>
            <w:tcW w:w="1552"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120" w:type="dxa"/>
              <w:left w:w="180" w:type="dxa"/>
              <w:bottom w:w="120" w:type="dxa"/>
              <w:right w:w="180" w:type="dxa"/>
            </w:tcMar>
          </w:tcPr>
          <w:p w14:paraId="323F321C"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缺失類別</w:t>
            </w:r>
          </w:p>
        </w:tc>
        <w:tc>
          <w:tcPr>
            <w:tcW w:w="368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120" w:type="dxa"/>
              <w:left w:w="180" w:type="dxa"/>
              <w:bottom w:w="120" w:type="dxa"/>
              <w:right w:w="180" w:type="dxa"/>
            </w:tcMar>
          </w:tcPr>
          <w:p w14:paraId="3D7231BE"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具體錯誤</w:t>
            </w:r>
          </w:p>
        </w:tc>
        <w:tc>
          <w:tcPr>
            <w:tcW w:w="4123"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120" w:type="dxa"/>
              <w:left w:w="180" w:type="dxa"/>
              <w:bottom w:w="120" w:type="dxa"/>
              <w:right w:w="180" w:type="dxa"/>
            </w:tcMar>
          </w:tcPr>
          <w:p w14:paraId="60EB0A22"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對評審的影響</w:t>
            </w:r>
          </w:p>
        </w:tc>
      </w:tr>
      <w:tr w:rsidR="00810AD0" w:rsidRPr="00AE2A7B" w14:paraId="03CCF5BD" w14:textId="77777777" w:rsidTr="00AE2A7B">
        <w:tc>
          <w:tcPr>
            <w:tcW w:w="15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15C61A"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數據處理</w:t>
            </w:r>
          </w:p>
        </w:tc>
        <w:tc>
          <w:tcPr>
            <w:tcW w:w="36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5DA81D"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樣本數不足、缺乏統計分析、選擇性呈現數據（挑數據）</w:t>
            </w:r>
          </w:p>
        </w:tc>
        <w:tc>
          <w:tcPr>
            <w:tcW w:w="41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07441D"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動搖所有結論的科學基礎，並引發對研究客觀性的質疑。</w:t>
            </w:r>
          </w:p>
        </w:tc>
      </w:tr>
      <w:tr w:rsidR="00810AD0" w:rsidRPr="00AE2A7B" w14:paraId="761979B7" w14:textId="77777777" w:rsidTr="00AE2A7B">
        <w:tc>
          <w:tcPr>
            <w:tcW w:w="15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FC0808"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理論深度</w:t>
            </w:r>
          </w:p>
        </w:tc>
        <w:tc>
          <w:tcPr>
            <w:tcW w:w="36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CD19D6"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僅描述現象，未解釋機制（「動手」強於「動腦」）</w:t>
            </w:r>
          </w:p>
        </w:tc>
        <w:tc>
          <w:tcPr>
            <w:tcW w:w="41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64F50C"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顯示研究停留在表面層次，缺乏學術價值與科學洞見。</w:t>
            </w:r>
          </w:p>
        </w:tc>
      </w:tr>
      <w:tr w:rsidR="00810AD0" w:rsidRPr="00AE2A7B" w14:paraId="2C7DA7CA" w14:textId="77777777" w:rsidTr="00AE2A7B">
        <w:tc>
          <w:tcPr>
            <w:tcW w:w="15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5F4FB4"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創新闡述</w:t>
            </w:r>
          </w:p>
        </w:tc>
        <w:tc>
          <w:tcPr>
            <w:tcW w:w="36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817E4A"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未進行充分文獻回顧，未能說明與前人研究的差異</w:t>
            </w:r>
          </w:p>
        </w:tc>
        <w:tc>
          <w:tcPr>
            <w:tcW w:w="41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D6A4D1"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無法證明研究的原創性與貢獻，可能被視為重複性工作。</w:t>
            </w:r>
          </w:p>
        </w:tc>
      </w:tr>
      <w:tr w:rsidR="00810AD0" w:rsidRPr="00AE2A7B" w14:paraId="7C9B6381" w14:textId="77777777" w:rsidTr="00AE2A7B">
        <w:tc>
          <w:tcPr>
            <w:tcW w:w="15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9ABD42"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研究記錄</w:t>
            </w:r>
          </w:p>
        </w:tc>
        <w:tc>
          <w:tcPr>
            <w:tcW w:w="36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5B74C1"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實驗記錄本不規範（使用鉛筆、活頁、缺日期）</w:t>
            </w:r>
          </w:p>
        </w:tc>
        <w:tc>
          <w:tcPr>
            <w:tcW w:w="41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9AD99F"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嚴重削弱研究過程的可信度，被視為科學誠信的重大瑕疵。</w:t>
            </w:r>
          </w:p>
        </w:tc>
      </w:tr>
      <w:tr w:rsidR="00810AD0" w:rsidRPr="00AE2A7B" w14:paraId="2CA20C0E" w14:textId="77777777" w:rsidTr="00AE2A7B">
        <w:tc>
          <w:tcPr>
            <w:tcW w:w="155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453549" w14:textId="77777777" w:rsidR="00810AD0" w:rsidRPr="00AE2A7B" w:rsidRDefault="00000000" w:rsidP="00AE2A7B">
            <w:pPr>
              <w:pBdr>
                <w:top w:val="nil"/>
                <w:left w:val="nil"/>
                <w:bottom w:val="nil"/>
                <w:right w:val="nil"/>
                <w:between w:val="nil"/>
              </w:pBdr>
              <w:spacing w:before="120" w:after="120"/>
              <w:rPr>
                <w:rFonts w:eastAsia="標楷體"/>
                <w:b/>
                <w:color w:val="1B1C1D"/>
              </w:rPr>
            </w:pPr>
            <w:r w:rsidRPr="00AE2A7B">
              <w:rPr>
                <w:rFonts w:eastAsia="標楷體"/>
                <w:b/>
                <w:color w:val="1B1C1D"/>
              </w:rPr>
              <w:t>應用評估</w:t>
            </w:r>
          </w:p>
        </w:tc>
        <w:tc>
          <w:tcPr>
            <w:tcW w:w="36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1A213D"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缺乏與現有技術的量化比較</w:t>
            </w:r>
          </w:p>
        </w:tc>
        <w:tc>
          <w:tcPr>
            <w:tcW w:w="41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79F468" w14:textId="77777777" w:rsidR="00810AD0" w:rsidRPr="00AE2A7B" w:rsidRDefault="00000000" w:rsidP="00AE2A7B">
            <w:pPr>
              <w:pBdr>
                <w:top w:val="nil"/>
                <w:left w:val="nil"/>
                <w:bottom w:val="nil"/>
                <w:right w:val="nil"/>
                <w:between w:val="nil"/>
              </w:pBdr>
              <w:spacing w:before="120" w:after="120"/>
              <w:rPr>
                <w:rFonts w:eastAsia="標楷體"/>
                <w:color w:val="1B1C1D"/>
              </w:rPr>
            </w:pPr>
            <w:r w:rsidRPr="00AE2A7B">
              <w:rPr>
                <w:rFonts w:eastAsia="標楷體"/>
                <w:color w:val="1B1C1D"/>
              </w:rPr>
              <w:t>無法證實作品的實用價值與創新性，淪為紙上談兵。</w:t>
            </w:r>
          </w:p>
        </w:tc>
      </w:tr>
    </w:tbl>
    <w:p w14:paraId="279D313A" w14:textId="7AB1E2C2" w:rsidR="00810AD0" w:rsidRPr="00AE2A7B" w:rsidRDefault="00000000" w:rsidP="00AE2A7B">
      <w:pPr>
        <w:pStyle w:val="2"/>
        <w:spacing w:before="0" w:after="120" w:line="275" w:lineRule="auto"/>
        <w:rPr>
          <w:rFonts w:eastAsia="標楷體"/>
          <w:color w:val="1B1C1D"/>
        </w:rPr>
      </w:pPr>
      <w:r w:rsidRPr="00AE2A7B">
        <w:rPr>
          <w:rFonts w:eastAsia="標楷體"/>
          <w:color w:val="1B1C1D"/>
        </w:rPr>
        <w:lastRenderedPageBreak/>
        <w:t>第四章：學科領域深度剖析：各科的卓越標準</w:t>
      </w:r>
    </w:p>
    <w:p w14:paraId="5A8A7DA7" w14:textId="15552257" w:rsidR="00810AD0" w:rsidRPr="00AE2A7B" w:rsidRDefault="00000000">
      <w:pPr>
        <w:pBdr>
          <w:top w:val="nil"/>
          <w:left w:val="nil"/>
          <w:bottom w:val="nil"/>
          <w:right w:val="nil"/>
          <w:between w:val="nil"/>
        </w:pBdr>
        <w:spacing w:after="240" w:line="275" w:lineRule="auto"/>
        <w:rPr>
          <w:rFonts w:eastAsia="標楷體"/>
          <w:color w:val="1B1C1D"/>
        </w:rPr>
      </w:pPr>
      <w:r w:rsidRPr="00AE2A7B">
        <w:rPr>
          <w:rFonts w:eastAsia="標楷體"/>
          <w:color w:val="1B1C1D"/>
        </w:rPr>
        <w:t>本章節將針對主要科學學科，整合全國科展與國際科展的評審意見，提供各學科的具體卓越標準與常見的失敗原因。</w:t>
      </w:r>
    </w:p>
    <w:p w14:paraId="309AA137" w14:textId="7E1332CD"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4.1 </w:t>
      </w:r>
      <w:r w:rsidRPr="00AE2A7B">
        <w:rPr>
          <w:rFonts w:eastAsia="標楷體"/>
          <w:color w:val="1B1C1D"/>
        </w:rPr>
        <w:t>生命科學（一）：動物學與植物學</w:t>
      </w:r>
    </w:p>
    <w:p w14:paraId="372799D7" w14:textId="35CAE05F" w:rsidR="00810AD0" w:rsidRPr="00AE2A7B" w:rsidRDefault="00000000">
      <w:pPr>
        <w:numPr>
          <w:ilvl w:val="0"/>
          <w:numId w:val="19"/>
        </w:numPr>
        <w:pBdr>
          <w:top w:val="nil"/>
          <w:left w:val="nil"/>
          <w:bottom w:val="nil"/>
          <w:right w:val="nil"/>
          <w:between w:val="nil"/>
        </w:pBdr>
        <w:spacing w:line="275" w:lineRule="auto"/>
        <w:rPr>
          <w:rFonts w:eastAsia="標楷體"/>
        </w:rPr>
      </w:pPr>
      <w:r w:rsidRPr="00AE2A7B">
        <w:rPr>
          <w:rFonts w:eastAsia="標楷體"/>
          <w:b/>
          <w:color w:val="1B1C1D"/>
        </w:rPr>
        <w:t>獲獎特質</w:t>
      </w:r>
      <w:r w:rsidRPr="00AE2A7B">
        <w:rPr>
          <w:rFonts w:eastAsia="標楷體"/>
          <w:color w:val="1B1C1D"/>
        </w:rPr>
        <w:t>：專注於新穎的行為或生態學發現（如蚵蛭的「離體咽」）、深入的機制探究（如皇宮菜的「氣孔簇」）、創新的測量技術（如光線游標尺、</w:t>
      </w:r>
      <w:proofErr w:type="spellStart"/>
      <w:r w:rsidRPr="00AE2A7B">
        <w:rPr>
          <w:rFonts w:eastAsia="標楷體"/>
          <w:color w:val="1B1C1D"/>
        </w:rPr>
        <w:t>DeepLabCut</w:t>
      </w:r>
      <w:proofErr w:type="spellEnd"/>
      <w:r w:rsidRPr="00AE2A7B">
        <w:rPr>
          <w:rFonts w:eastAsia="標楷體"/>
          <w:color w:val="1B1C1D"/>
        </w:rPr>
        <w:t xml:space="preserve"> </w:t>
      </w:r>
      <w:r w:rsidRPr="00AE2A7B">
        <w:rPr>
          <w:rFonts w:eastAsia="標楷體"/>
          <w:color w:val="1B1C1D"/>
        </w:rPr>
        <w:t>），以及與在地生物多樣性或保育議題的連結（如陸蟹路殺問題</w:t>
      </w:r>
      <w:r w:rsidRPr="00AE2A7B">
        <w:rPr>
          <w:rFonts w:eastAsia="標楷體"/>
          <w:color w:val="1B1C1D"/>
        </w:rPr>
        <w:t xml:space="preserve"> </w:t>
      </w:r>
      <w:r w:rsidRPr="00AE2A7B">
        <w:rPr>
          <w:rFonts w:eastAsia="標楷體"/>
          <w:color w:val="1B1C1D"/>
        </w:rPr>
        <w:t>）。國際科展評語更讚揚對演化適應性的深度分析，例如睡蓮蚜為適應水面行走而演化出的形態特徵</w:t>
      </w:r>
      <w:r w:rsidRPr="00AE2A7B">
        <w:rPr>
          <w:rFonts w:eastAsia="標楷體"/>
          <w:color w:val="1B1C1D"/>
        </w:rPr>
        <w:t xml:space="preserve"> [</w:t>
      </w:r>
      <w:r w:rsidRPr="00AE2A7B">
        <w:rPr>
          <w:rFonts w:eastAsia="標楷體"/>
          <w:color w:val="1B1C1D"/>
        </w:rPr>
        <w:t>全國科展各科作品評語總整理</w:t>
      </w:r>
      <w:r w:rsidRPr="00AE2A7B">
        <w:rPr>
          <w:rFonts w:eastAsia="標楷體"/>
          <w:color w:val="1B1C1D"/>
        </w:rPr>
        <w:t>]</w:t>
      </w:r>
      <w:r w:rsidRPr="00AE2A7B">
        <w:rPr>
          <w:rFonts w:eastAsia="標楷體"/>
          <w:color w:val="1B1C1D"/>
        </w:rPr>
        <w:t>。</w:t>
      </w:r>
    </w:p>
    <w:p w14:paraId="0545A54D" w14:textId="1C5AF252" w:rsidR="00810AD0" w:rsidRPr="00AE2A7B" w:rsidRDefault="00000000">
      <w:pPr>
        <w:numPr>
          <w:ilvl w:val="0"/>
          <w:numId w:val="19"/>
        </w:numPr>
        <w:pBdr>
          <w:top w:val="nil"/>
          <w:left w:val="nil"/>
          <w:bottom w:val="nil"/>
          <w:right w:val="nil"/>
          <w:between w:val="nil"/>
        </w:pBdr>
        <w:spacing w:after="120" w:line="275" w:lineRule="auto"/>
        <w:rPr>
          <w:rFonts w:eastAsia="標楷體"/>
        </w:rPr>
      </w:pPr>
      <w:r w:rsidRPr="00AE2A7B">
        <w:rPr>
          <w:rFonts w:eastAsia="標楷體"/>
          <w:b/>
          <w:color w:val="1B1C1D"/>
        </w:rPr>
        <w:t>常見缺失</w:t>
      </w:r>
      <w:r w:rsidRPr="00AE2A7B">
        <w:rPr>
          <w:rFonts w:eastAsia="標楷體"/>
          <w:color w:val="1B1C1D"/>
        </w:rPr>
        <w:t>：樣本數不足是所有生物學科最致命的通病</w:t>
      </w:r>
      <w:r w:rsidRPr="00AE2A7B">
        <w:rPr>
          <w:rFonts w:eastAsia="標楷體"/>
          <w:color w:val="1B1C1D"/>
        </w:rPr>
        <w:t xml:space="preserve"> </w:t>
      </w:r>
      <w:r w:rsidRPr="00AE2A7B">
        <w:rPr>
          <w:rFonts w:eastAsia="標楷體"/>
          <w:color w:val="1B1C1D"/>
        </w:rPr>
        <w:t>。此外，未能有效控制複雜的環境變因、僅有描述性觀察而缺乏假說驗證，以及因樣本取得困難（如無法採集到埃及斑蚊的卵，只能研究白線斑蚊）而導致研究範圍受限，都是常見問題</w:t>
      </w:r>
      <w:r w:rsidRPr="00AE2A7B">
        <w:rPr>
          <w:rFonts w:eastAsia="標楷體"/>
          <w:color w:val="1B1C1D"/>
        </w:rPr>
        <w:t xml:space="preserve"> </w:t>
      </w:r>
      <w:r w:rsidRPr="00AE2A7B">
        <w:rPr>
          <w:rFonts w:eastAsia="標楷體"/>
          <w:color w:val="1B1C1D"/>
        </w:rPr>
        <w:t>。</w:t>
      </w:r>
    </w:p>
    <w:p w14:paraId="5BE3266E"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03DDA9DF" w14:textId="680EE491"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4.2 </w:t>
      </w:r>
      <w:r w:rsidRPr="00AE2A7B">
        <w:rPr>
          <w:rFonts w:eastAsia="標楷體"/>
          <w:color w:val="1B1C1D"/>
        </w:rPr>
        <w:t>生命科學（二）：醫學、健康科學與生物化學</w:t>
      </w:r>
    </w:p>
    <w:p w14:paraId="69CA7626" w14:textId="2822256A" w:rsidR="00810AD0" w:rsidRPr="00AE2A7B" w:rsidRDefault="00000000">
      <w:pPr>
        <w:numPr>
          <w:ilvl w:val="0"/>
          <w:numId w:val="20"/>
        </w:numPr>
        <w:pBdr>
          <w:top w:val="nil"/>
          <w:left w:val="nil"/>
          <w:bottom w:val="nil"/>
          <w:right w:val="nil"/>
          <w:between w:val="nil"/>
        </w:pBdr>
        <w:spacing w:line="275" w:lineRule="auto"/>
        <w:rPr>
          <w:rFonts w:eastAsia="標楷體"/>
        </w:rPr>
      </w:pPr>
      <w:r w:rsidRPr="00AE2A7B">
        <w:rPr>
          <w:rFonts w:eastAsia="標楷體"/>
          <w:b/>
          <w:color w:val="1B1C1D"/>
        </w:rPr>
        <w:t>獲獎特質</w:t>
      </w:r>
      <w:r w:rsidRPr="00AE2A7B">
        <w:rPr>
          <w:rFonts w:eastAsia="標楷體"/>
          <w:color w:val="1B1C1D"/>
        </w:rPr>
        <w:t>：具有高度的臨床或應用潛力（如可食用藥物包裝紙）、對生理過程的創新模擬（如用雞卵黃細胞模擬紅血球）、對傳統醫學的科學驗證（如鄒族使用葛藤），以及對行為認知科學的嚴謹分析（如教室內的蕨類植物能提升考試成績）。國際科展評語特別強調對癌症路徑、免疫學等前沿分子機制的深入研究</w:t>
      </w:r>
      <w:r w:rsidRPr="00AE2A7B">
        <w:rPr>
          <w:rFonts w:eastAsia="標楷體"/>
          <w:color w:val="1B1C1D"/>
        </w:rPr>
        <w:t xml:space="preserve"> [</w:t>
      </w:r>
      <w:r w:rsidRPr="00AE2A7B">
        <w:rPr>
          <w:rFonts w:eastAsia="標楷體"/>
          <w:color w:val="1B1C1D"/>
        </w:rPr>
        <w:t>台灣國際科展各科評語總整理</w:t>
      </w:r>
      <w:r w:rsidRPr="00AE2A7B">
        <w:rPr>
          <w:rFonts w:eastAsia="標楷體"/>
          <w:color w:val="1B1C1D"/>
        </w:rPr>
        <w:t>]</w:t>
      </w:r>
      <w:r w:rsidRPr="00AE2A7B">
        <w:rPr>
          <w:rFonts w:eastAsia="標楷體"/>
          <w:color w:val="1B1C1D"/>
        </w:rPr>
        <w:t>。</w:t>
      </w:r>
    </w:p>
    <w:p w14:paraId="17237B1B" w14:textId="3618FC33" w:rsidR="00810AD0" w:rsidRPr="00AE2A7B" w:rsidRDefault="00000000">
      <w:pPr>
        <w:numPr>
          <w:ilvl w:val="0"/>
          <w:numId w:val="20"/>
        </w:numPr>
        <w:pBdr>
          <w:top w:val="nil"/>
          <w:left w:val="nil"/>
          <w:bottom w:val="nil"/>
          <w:right w:val="nil"/>
          <w:between w:val="nil"/>
        </w:pBdr>
        <w:spacing w:after="120" w:line="275" w:lineRule="auto"/>
        <w:rPr>
          <w:rFonts w:eastAsia="標楷體"/>
        </w:rPr>
      </w:pPr>
      <w:r w:rsidRPr="00AE2A7B">
        <w:rPr>
          <w:rFonts w:eastAsia="標楷體"/>
          <w:b/>
          <w:color w:val="1B1C1D"/>
        </w:rPr>
        <w:t>常見缺失</w:t>
      </w:r>
      <w:r w:rsidRPr="00AE2A7B">
        <w:rPr>
          <w:rFonts w:eastAsia="標楷體"/>
          <w:color w:val="1B1C1D"/>
        </w:rPr>
        <w:t>：理論深度不足（如觀察到音樂對注意力的影響，卻未探討其背後的認知神經機制）、統計驗證薄弱、在涉及人體的研究中忽略倫理審查（</w:t>
      </w:r>
      <w:r w:rsidRPr="00AE2A7B">
        <w:rPr>
          <w:rFonts w:eastAsia="標楷體"/>
          <w:color w:val="1B1C1D"/>
        </w:rPr>
        <w:t>IRB</w:t>
      </w:r>
      <w:r w:rsidRPr="00AE2A7B">
        <w:rPr>
          <w:rFonts w:eastAsia="標楷體"/>
          <w:color w:val="1B1C1D"/>
        </w:rPr>
        <w:t>）規範</w:t>
      </w:r>
      <w:r w:rsidRPr="00AE2A7B">
        <w:rPr>
          <w:rFonts w:eastAsia="標楷體"/>
          <w:color w:val="1B1C1D"/>
        </w:rPr>
        <w:t xml:space="preserve"> [</w:t>
      </w:r>
      <w:r w:rsidRPr="00AE2A7B">
        <w:rPr>
          <w:rFonts w:eastAsia="標楷體"/>
          <w:color w:val="1B1C1D"/>
        </w:rPr>
        <w:t>台灣國際科展各科評語總整理</w:t>
      </w:r>
      <w:r w:rsidRPr="00AE2A7B">
        <w:rPr>
          <w:rFonts w:eastAsia="標楷體"/>
          <w:color w:val="1B1C1D"/>
        </w:rPr>
        <w:t>]</w:t>
      </w:r>
      <w:r w:rsidRPr="00AE2A7B">
        <w:rPr>
          <w:rFonts w:eastAsia="標楷體"/>
          <w:color w:val="1B1C1D"/>
        </w:rPr>
        <w:t>，以及在報告中過度推論簡化模型的適用性，卻未討論其局限性。</w:t>
      </w:r>
    </w:p>
    <w:p w14:paraId="4736727B"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43DB3311" w14:textId="779012E8"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4.3 </w:t>
      </w:r>
      <w:r w:rsidRPr="00AE2A7B">
        <w:rPr>
          <w:rFonts w:eastAsia="標楷體"/>
          <w:color w:val="1B1C1D"/>
        </w:rPr>
        <w:t>應用生命科學：食品、農業與微生物學</w:t>
      </w:r>
    </w:p>
    <w:p w14:paraId="4B42F661" w14:textId="7EB04D4F" w:rsidR="00810AD0" w:rsidRPr="00AE2A7B" w:rsidRDefault="00000000">
      <w:pPr>
        <w:numPr>
          <w:ilvl w:val="0"/>
          <w:numId w:val="21"/>
        </w:numPr>
        <w:pBdr>
          <w:top w:val="nil"/>
          <w:left w:val="nil"/>
          <w:bottom w:val="nil"/>
          <w:right w:val="nil"/>
          <w:between w:val="nil"/>
        </w:pBdr>
        <w:spacing w:line="275" w:lineRule="auto"/>
        <w:rPr>
          <w:rFonts w:eastAsia="標楷體"/>
        </w:rPr>
      </w:pPr>
      <w:r w:rsidRPr="00AE2A7B">
        <w:rPr>
          <w:rFonts w:eastAsia="標楷體"/>
          <w:b/>
          <w:color w:val="1B1C1D"/>
        </w:rPr>
        <w:t>獲獎特質</w:t>
      </w:r>
      <w:r w:rsidRPr="00AE2A7B">
        <w:rPr>
          <w:rFonts w:eastAsia="標楷體"/>
          <w:color w:val="1B1C1D"/>
        </w:rPr>
        <w:t>：在製程或產品開發上展現出具商業潛力的創新（如被建議申請專利的米苔目新製程</w:t>
      </w:r>
      <w:r w:rsidRPr="00AE2A7B">
        <w:rPr>
          <w:rFonts w:eastAsia="標楷體"/>
          <w:color w:val="1B1C1D"/>
        </w:rPr>
        <w:t xml:space="preserve"> </w:t>
      </w:r>
      <w:r w:rsidRPr="00AE2A7B">
        <w:rPr>
          <w:rFonts w:eastAsia="標楷體"/>
          <w:color w:val="444746"/>
          <w:sz w:val="24"/>
          <w:szCs w:val="24"/>
          <w:vertAlign w:val="superscript"/>
        </w:rPr>
        <w:t>3</w:t>
      </w:r>
      <w:r w:rsidRPr="00AE2A7B">
        <w:rPr>
          <w:rFonts w:eastAsia="標楷體"/>
          <w:color w:val="1B1C1D"/>
        </w:rPr>
        <w:t>）、與永續發展和循環經濟緊密結合（如利用黑水虻廢棄物），並透過穩健的量化與統計分析證明其效益。在生物防治領域的研究（如利用寄生蜂控制蚜蟲）也受到高度評價。</w:t>
      </w:r>
    </w:p>
    <w:p w14:paraId="62F2D3F5" w14:textId="327FA67A" w:rsidR="00810AD0" w:rsidRPr="00AE2A7B" w:rsidRDefault="00000000">
      <w:pPr>
        <w:numPr>
          <w:ilvl w:val="0"/>
          <w:numId w:val="21"/>
        </w:numPr>
        <w:pBdr>
          <w:top w:val="nil"/>
          <w:left w:val="nil"/>
          <w:bottom w:val="nil"/>
          <w:right w:val="nil"/>
          <w:between w:val="nil"/>
        </w:pBdr>
        <w:spacing w:after="120" w:line="275" w:lineRule="auto"/>
        <w:rPr>
          <w:rFonts w:eastAsia="標楷體"/>
        </w:rPr>
      </w:pPr>
      <w:r w:rsidRPr="00AE2A7B">
        <w:rPr>
          <w:rFonts w:eastAsia="標楷體"/>
          <w:b/>
          <w:color w:val="1B1C1D"/>
        </w:rPr>
        <w:t>常見缺失</w:t>
      </w:r>
      <w:r w:rsidRPr="00AE2A7B">
        <w:rPr>
          <w:rFonts w:eastAsia="標楷體"/>
          <w:color w:val="1B1C1D"/>
        </w:rPr>
        <w:t>：缺乏關鍵的對照組（如改良米苔目製程卻未與傳統方法比較）、對效益的量化評估不足、未能與現有商業產品進行比較，以及未能充分考慮將實驗室成果應用於真實農業環境時的規模化與現實限制。</w:t>
      </w:r>
    </w:p>
    <w:p w14:paraId="18BA4D5A"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3E5D9417" w14:textId="66227361"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4.4 </w:t>
      </w:r>
      <w:r w:rsidRPr="00AE2A7B">
        <w:rPr>
          <w:rFonts w:eastAsia="標楷體"/>
          <w:color w:val="1B1C1D"/>
        </w:rPr>
        <w:t>物理科學：物理學、化學與地球環境科學</w:t>
      </w:r>
    </w:p>
    <w:p w14:paraId="2706FD04" w14:textId="2C60FCC9" w:rsidR="00810AD0" w:rsidRPr="00AE2A7B" w:rsidRDefault="00000000">
      <w:pPr>
        <w:numPr>
          <w:ilvl w:val="0"/>
          <w:numId w:val="22"/>
        </w:numPr>
        <w:pBdr>
          <w:top w:val="nil"/>
          <w:left w:val="nil"/>
          <w:bottom w:val="nil"/>
          <w:right w:val="nil"/>
          <w:between w:val="nil"/>
        </w:pBdr>
        <w:spacing w:line="275" w:lineRule="auto"/>
        <w:rPr>
          <w:rFonts w:eastAsia="標楷體"/>
        </w:rPr>
      </w:pPr>
      <w:r w:rsidRPr="00AE2A7B">
        <w:rPr>
          <w:rFonts w:eastAsia="標楷體"/>
          <w:b/>
          <w:color w:val="1B1C1D"/>
        </w:rPr>
        <w:t>獲獎特質</w:t>
      </w:r>
      <w:r w:rsidRPr="00AE2A7B">
        <w:rPr>
          <w:rFonts w:eastAsia="標楷體"/>
          <w:color w:val="1B1C1D"/>
        </w:rPr>
        <w:t>：在物理學中，強大的理論模型建構能力，以及將實驗數據與物理定律緊密結合的</w:t>
      </w:r>
      <w:r w:rsidRPr="00AE2A7B">
        <w:rPr>
          <w:rFonts w:eastAsia="標楷體"/>
          <w:color w:val="1B1C1D"/>
        </w:rPr>
        <w:lastRenderedPageBreak/>
        <w:t>能力備受讚譽。化學的獲獎作品常聚焦於綠色化學、新材料開發，以及在能源或生醫領域的應用。地球科學則極度重視田野調查、對在地環境議題的關懷，以及運用大數據或遙測等先進技術。</w:t>
      </w:r>
    </w:p>
    <w:p w14:paraId="522540F1" w14:textId="47FFA611" w:rsidR="00810AD0" w:rsidRPr="00AE2A7B" w:rsidRDefault="00000000">
      <w:pPr>
        <w:numPr>
          <w:ilvl w:val="0"/>
          <w:numId w:val="22"/>
        </w:numPr>
        <w:pBdr>
          <w:top w:val="nil"/>
          <w:left w:val="nil"/>
          <w:bottom w:val="nil"/>
          <w:right w:val="nil"/>
          <w:between w:val="nil"/>
        </w:pBdr>
        <w:spacing w:after="120" w:line="275" w:lineRule="auto"/>
        <w:rPr>
          <w:rFonts w:eastAsia="標楷體"/>
        </w:rPr>
      </w:pPr>
      <w:r w:rsidRPr="00AE2A7B">
        <w:rPr>
          <w:rFonts w:eastAsia="標楷體"/>
          <w:b/>
          <w:color w:val="1B1C1D"/>
        </w:rPr>
        <w:t>常見缺失</w:t>
      </w:r>
      <w:r w:rsidRPr="00AE2A7B">
        <w:rPr>
          <w:rFonts w:eastAsia="標楷體"/>
          <w:color w:val="1B1C1D"/>
        </w:rPr>
        <w:t>：物理學常見的缺失是過度依賴教科書的標準實驗，缺乏新穎的洞見，且未能深入挖掘數據擬合背後的物理意義。地球科學的主要問題在於未能考慮「尺度」問題（將小型實驗室結果外推至大規模自然現象），以及忽視模型的局限性。化學則常因量化數據不足以支持其論點，或對反應機制的解釋深度不夠而失分。</w:t>
      </w:r>
    </w:p>
    <w:p w14:paraId="7A394A1E"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0305470F" w14:textId="3592C10E"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4.5 </w:t>
      </w:r>
      <w:r w:rsidRPr="00AE2A7B">
        <w:rPr>
          <w:rFonts w:eastAsia="標楷體"/>
          <w:color w:val="1B1C1D"/>
        </w:rPr>
        <w:t>形式與應用科學：數學、工程學與電腦科學</w:t>
      </w:r>
    </w:p>
    <w:p w14:paraId="7C83C33E" w14:textId="4759442B" w:rsidR="00810AD0" w:rsidRPr="00AE2A7B" w:rsidRDefault="00000000">
      <w:pPr>
        <w:numPr>
          <w:ilvl w:val="0"/>
          <w:numId w:val="23"/>
        </w:numPr>
        <w:pBdr>
          <w:top w:val="nil"/>
          <w:left w:val="nil"/>
          <w:bottom w:val="nil"/>
          <w:right w:val="nil"/>
          <w:between w:val="nil"/>
        </w:pBdr>
        <w:spacing w:line="275" w:lineRule="auto"/>
        <w:rPr>
          <w:rFonts w:eastAsia="標楷體"/>
        </w:rPr>
      </w:pPr>
      <w:r w:rsidRPr="00AE2A7B">
        <w:rPr>
          <w:rFonts w:eastAsia="標楷體"/>
          <w:b/>
          <w:color w:val="1B1C1D"/>
        </w:rPr>
        <w:t>獲獎特質</w:t>
      </w:r>
      <w:r w:rsidRPr="00AE2A7B">
        <w:rPr>
          <w:rFonts w:eastAsia="標楷體"/>
          <w:color w:val="1B1C1D"/>
        </w:rPr>
        <w:t>：數學領域重視證明的優雅性與完整性，以及將已知問題推廣或發展出新穎解法的能力</w:t>
      </w:r>
      <w:r w:rsidRPr="00AE2A7B">
        <w:rPr>
          <w:rFonts w:eastAsia="標楷體"/>
          <w:color w:val="1B1C1D"/>
        </w:rPr>
        <w:t xml:space="preserve"> </w:t>
      </w:r>
      <w:r w:rsidRPr="00AE2A7B">
        <w:rPr>
          <w:rFonts w:eastAsia="標楷體"/>
          <w:color w:val="444746"/>
          <w:sz w:val="24"/>
          <w:szCs w:val="24"/>
          <w:vertAlign w:val="superscript"/>
        </w:rPr>
        <w:t>4</w:t>
      </w:r>
      <w:r w:rsidRPr="00AE2A7B">
        <w:rPr>
          <w:rFonts w:eastAsia="標楷體"/>
          <w:color w:val="1B1C1D"/>
        </w:rPr>
        <w:t>。工程學的卓越之處在於高度的系統整合能力（結合機械、電子與軟體）、解決實際問題的效能，以及對最終成品的量化性能評測。電腦科學則強調應用先進演算法（如機器學習）解決複雜問題，且常以跨學科形式呈現。</w:t>
      </w:r>
    </w:p>
    <w:p w14:paraId="65E62C95" w14:textId="79F56B8B" w:rsidR="00810AD0" w:rsidRPr="00AE2A7B" w:rsidRDefault="00000000">
      <w:pPr>
        <w:numPr>
          <w:ilvl w:val="0"/>
          <w:numId w:val="23"/>
        </w:numPr>
        <w:pBdr>
          <w:top w:val="nil"/>
          <w:left w:val="nil"/>
          <w:bottom w:val="nil"/>
          <w:right w:val="nil"/>
          <w:between w:val="nil"/>
        </w:pBdr>
        <w:spacing w:after="120" w:line="275" w:lineRule="auto"/>
        <w:rPr>
          <w:rFonts w:eastAsia="標楷體"/>
        </w:rPr>
      </w:pPr>
      <w:r w:rsidRPr="00AE2A7B">
        <w:rPr>
          <w:rFonts w:eastAsia="標楷體"/>
          <w:b/>
          <w:color w:val="1B1C1D"/>
        </w:rPr>
        <w:t>常見缺失</w:t>
      </w:r>
      <w:r w:rsidRPr="00AE2A7B">
        <w:rPr>
          <w:rFonts w:eastAsia="標楷體"/>
          <w:color w:val="1B1C1D"/>
        </w:rPr>
        <w:t>：數學領域中，與遊戲相關的專題若僅討論策略而缺乏足夠的數學深度，則難以獲獎。工程學的通病是缺乏對最終成品效益的量化評估，且未能與現有解決方案進行比較。電腦科學的常見陷阱是應用標準演算法，卻對其背後的資訊科學理論理解不深或無所貢獻。</w:t>
      </w:r>
    </w:p>
    <w:p w14:paraId="4A494D7C"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03AAA8C5" w14:textId="572BA935"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4.6 </w:t>
      </w:r>
      <w:r w:rsidRPr="00AE2A7B">
        <w:rPr>
          <w:rFonts w:eastAsia="標楷體"/>
          <w:color w:val="1B1C1D"/>
        </w:rPr>
        <w:t>社會科學：行為與社會科學</w:t>
      </w:r>
    </w:p>
    <w:p w14:paraId="45194DA1" w14:textId="5B859160" w:rsidR="00810AD0" w:rsidRPr="00AE2A7B" w:rsidRDefault="00000000">
      <w:pPr>
        <w:numPr>
          <w:ilvl w:val="0"/>
          <w:numId w:val="24"/>
        </w:numPr>
        <w:pBdr>
          <w:top w:val="nil"/>
          <w:left w:val="nil"/>
          <w:bottom w:val="nil"/>
          <w:right w:val="nil"/>
          <w:between w:val="nil"/>
        </w:pBdr>
        <w:spacing w:line="275" w:lineRule="auto"/>
        <w:rPr>
          <w:rFonts w:eastAsia="標楷體"/>
        </w:rPr>
      </w:pPr>
      <w:r w:rsidRPr="00AE2A7B">
        <w:rPr>
          <w:rFonts w:eastAsia="標楷體"/>
          <w:b/>
          <w:color w:val="1B1C1D"/>
        </w:rPr>
        <w:t>獲獎特質</w:t>
      </w:r>
      <w:r w:rsidRPr="00AE2A7B">
        <w:rPr>
          <w:rFonts w:eastAsia="標楷體"/>
          <w:color w:val="1B1C1D"/>
        </w:rPr>
        <w:t>：基於既有心理學或社會學理論建立清晰的研究假說，採用嚴謹的實驗設計（如適當的控制組、隨機分派），並運用合適的統計方法分析數據。創新地運用科技（如眼動追蹤、腦波儀）收集客觀數據，是近年來的一大亮點。</w:t>
      </w:r>
    </w:p>
    <w:p w14:paraId="76C3FEF0" w14:textId="2A253203" w:rsidR="00810AD0" w:rsidRPr="00AE2A7B" w:rsidRDefault="00000000">
      <w:pPr>
        <w:numPr>
          <w:ilvl w:val="0"/>
          <w:numId w:val="24"/>
        </w:numPr>
        <w:pBdr>
          <w:top w:val="nil"/>
          <w:left w:val="nil"/>
          <w:bottom w:val="nil"/>
          <w:right w:val="nil"/>
          <w:between w:val="nil"/>
        </w:pBdr>
        <w:spacing w:after="120" w:line="275" w:lineRule="auto"/>
        <w:rPr>
          <w:rFonts w:eastAsia="標楷體"/>
        </w:rPr>
      </w:pPr>
      <w:r w:rsidRPr="00AE2A7B">
        <w:rPr>
          <w:rFonts w:eastAsia="標楷體"/>
          <w:b/>
          <w:color w:val="1B1C1D"/>
        </w:rPr>
        <w:t>常見缺失</w:t>
      </w:r>
      <w:r w:rsidRPr="00AE2A7B">
        <w:rPr>
          <w:rFonts w:eastAsia="標楷體"/>
          <w:color w:val="1B1C1D"/>
        </w:rPr>
        <w:t>：缺乏理論框架、過度依賴未經驗證的主觀自評問卷（國際科展評語中的主要問題）、未能取得人體試驗倫理審查委員會（</w:t>
      </w:r>
      <w:r w:rsidRPr="00AE2A7B">
        <w:rPr>
          <w:rFonts w:eastAsia="標楷體"/>
          <w:color w:val="1B1C1D"/>
        </w:rPr>
        <w:t>IRB</w:t>
      </w:r>
      <w:r w:rsidRPr="00AE2A7B">
        <w:rPr>
          <w:rFonts w:eastAsia="標楷體"/>
          <w:color w:val="1B1C1D"/>
        </w:rPr>
        <w:t>）的批准，以及做出超越統計分析所能支持的過度推論。</w:t>
      </w:r>
    </w:p>
    <w:p w14:paraId="58183B24" w14:textId="77777777" w:rsidR="00810AD0" w:rsidRPr="00AE2A7B" w:rsidRDefault="00810AD0">
      <w:pPr>
        <w:pBdr>
          <w:top w:val="nil"/>
          <w:left w:val="nil"/>
          <w:bottom w:val="nil"/>
          <w:right w:val="nil"/>
          <w:between w:val="nil"/>
        </w:pBdr>
        <w:spacing w:before="240" w:after="240" w:line="275" w:lineRule="auto"/>
        <w:rPr>
          <w:rFonts w:eastAsia="標楷體"/>
          <w:color w:val="1B1C1D"/>
        </w:rPr>
      </w:pPr>
    </w:p>
    <w:p w14:paraId="3B8E0B8A" w14:textId="6FFC5702" w:rsidR="00810AD0" w:rsidRPr="00AE2A7B" w:rsidRDefault="00000000" w:rsidP="00AE2A7B">
      <w:pPr>
        <w:pStyle w:val="2"/>
        <w:spacing w:before="0" w:after="120" w:line="275" w:lineRule="auto"/>
        <w:rPr>
          <w:rFonts w:eastAsia="標楷體"/>
          <w:color w:val="1B1C1D"/>
        </w:rPr>
      </w:pPr>
      <w:r w:rsidRPr="00AE2A7B">
        <w:rPr>
          <w:rFonts w:eastAsia="標楷體"/>
          <w:color w:val="1B1C1D"/>
        </w:rPr>
        <w:t>第五章：給有志參與者與指導教師的策略建議</w:t>
      </w:r>
    </w:p>
    <w:p w14:paraId="47C4BC79" w14:textId="3EA2D13A" w:rsidR="00810AD0" w:rsidRPr="00AE2A7B" w:rsidRDefault="00000000">
      <w:pPr>
        <w:pBdr>
          <w:top w:val="nil"/>
          <w:left w:val="nil"/>
          <w:bottom w:val="nil"/>
          <w:right w:val="nil"/>
          <w:between w:val="nil"/>
        </w:pBdr>
        <w:spacing w:after="240" w:line="275" w:lineRule="auto"/>
        <w:rPr>
          <w:rFonts w:eastAsia="標楷體"/>
          <w:color w:val="1B1C1D"/>
        </w:rPr>
      </w:pPr>
      <w:r w:rsidRPr="00AE2A7B">
        <w:rPr>
          <w:rFonts w:eastAsia="標楷體"/>
          <w:color w:val="1B1C1D"/>
        </w:rPr>
        <w:t>本章節將前述的分析轉化為一套具體、可操作的指南，旨在協助未來的參與者與指導者提升其研究計畫的品質與競爭力。</w:t>
      </w:r>
    </w:p>
    <w:p w14:paraId="68FE0548" w14:textId="07416E53"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5.1 </w:t>
      </w:r>
      <w:r w:rsidRPr="00AE2A7B">
        <w:rPr>
          <w:rFonts w:eastAsia="標楷體"/>
          <w:color w:val="1B1C1D"/>
        </w:rPr>
        <w:t>成功的藍圖：專題發展檢核清單</w:t>
      </w:r>
    </w:p>
    <w:p w14:paraId="741D8F11"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此清單旨在引導研究從概念發想到最終呈現的每一步，確保符合獲獎標準。</w:t>
      </w:r>
    </w:p>
    <w:p w14:paraId="2D067F4E" w14:textId="77777777" w:rsidR="00810AD0" w:rsidRPr="00AE2A7B" w:rsidRDefault="00000000">
      <w:pPr>
        <w:numPr>
          <w:ilvl w:val="0"/>
          <w:numId w:val="25"/>
        </w:numPr>
        <w:pBdr>
          <w:top w:val="nil"/>
          <w:left w:val="nil"/>
          <w:bottom w:val="nil"/>
          <w:right w:val="nil"/>
          <w:between w:val="nil"/>
        </w:pBdr>
        <w:spacing w:line="275" w:lineRule="auto"/>
        <w:rPr>
          <w:rFonts w:eastAsia="標楷體"/>
        </w:rPr>
      </w:pPr>
      <w:r w:rsidRPr="00AE2A7B">
        <w:rPr>
          <w:rFonts w:eastAsia="標楷體"/>
          <w:b/>
          <w:color w:val="1B1C1D"/>
        </w:rPr>
        <w:t>概念階段</w:t>
      </w:r>
      <w:r w:rsidRPr="00AE2A7B">
        <w:rPr>
          <w:rFonts w:eastAsia="標楷體"/>
          <w:color w:val="1B1C1D"/>
        </w:rPr>
        <w:t>：</w:t>
      </w:r>
    </w:p>
    <w:p w14:paraId="6D4E9E09" w14:textId="77777777" w:rsidR="00810AD0" w:rsidRPr="00AE2A7B" w:rsidRDefault="00000000">
      <w:pPr>
        <w:numPr>
          <w:ilvl w:val="1"/>
          <w:numId w:val="2"/>
        </w:numPr>
        <w:pBdr>
          <w:top w:val="nil"/>
          <w:left w:val="nil"/>
          <w:bottom w:val="nil"/>
          <w:right w:val="nil"/>
          <w:between w:val="nil"/>
        </w:pBdr>
        <w:spacing w:line="275" w:lineRule="auto"/>
        <w:rPr>
          <w:rFonts w:eastAsia="標楷體"/>
        </w:rPr>
      </w:pPr>
      <w:r w:rsidRPr="00AE2A7B">
        <w:rPr>
          <w:rFonts w:eastAsia="標楷體"/>
          <w:color w:val="1B1C1D"/>
        </w:rPr>
        <w:lastRenderedPageBreak/>
        <w:t xml:space="preserve">□ </w:t>
      </w:r>
      <w:r w:rsidRPr="00AE2A7B">
        <w:rPr>
          <w:rFonts w:eastAsia="標楷體"/>
          <w:color w:val="1B1C1D"/>
        </w:rPr>
        <w:t>是否已進行全面的文獻回顧，以明確界定本研究的獨特貢獻（填補空白、挑戰舊說、或提出新方法）？</w:t>
      </w:r>
    </w:p>
    <w:p w14:paraId="7C11C324" w14:textId="77777777" w:rsidR="00810AD0" w:rsidRPr="00AE2A7B" w:rsidRDefault="00000000">
      <w:pPr>
        <w:numPr>
          <w:ilvl w:val="1"/>
          <w:numId w:val="2"/>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研究問題是否足夠聚焦，能在有限時間與資源內進行深入探討？</w:t>
      </w:r>
    </w:p>
    <w:p w14:paraId="5078304B" w14:textId="77777777" w:rsidR="00810AD0" w:rsidRPr="00AE2A7B" w:rsidRDefault="00000000">
      <w:pPr>
        <w:numPr>
          <w:ilvl w:val="0"/>
          <w:numId w:val="25"/>
        </w:numPr>
        <w:pBdr>
          <w:top w:val="nil"/>
          <w:left w:val="nil"/>
          <w:bottom w:val="nil"/>
          <w:right w:val="nil"/>
          <w:between w:val="nil"/>
        </w:pBdr>
        <w:spacing w:line="275" w:lineRule="auto"/>
        <w:rPr>
          <w:rFonts w:eastAsia="標楷體"/>
        </w:rPr>
      </w:pPr>
      <w:r w:rsidRPr="00AE2A7B">
        <w:rPr>
          <w:rFonts w:eastAsia="標楷體"/>
          <w:b/>
          <w:color w:val="1B1C1D"/>
        </w:rPr>
        <w:t>設計階段</w:t>
      </w:r>
      <w:r w:rsidRPr="00AE2A7B">
        <w:rPr>
          <w:rFonts w:eastAsia="標楷體"/>
          <w:color w:val="1B1C1D"/>
        </w:rPr>
        <w:t>：</w:t>
      </w:r>
    </w:p>
    <w:p w14:paraId="2DE17C99" w14:textId="77777777" w:rsidR="00810AD0" w:rsidRPr="00AE2A7B" w:rsidRDefault="00000000">
      <w:pPr>
        <w:numPr>
          <w:ilvl w:val="1"/>
          <w:numId w:val="3"/>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實驗設計是否包含足夠的樣本數與重複次數，以進行有效的統計分析？</w:t>
      </w:r>
    </w:p>
    <w:p w14:paraId="3E75BAC5" w14:textId="77777777" w:rsidR="00810AD0" w:rsidRPr="00AE2A7B" w:rsidRDefault="00000000">
      <w:pPr>
        <w:numPr>
          <w:ilvl w:val="1"/>
          <w:numId w:val="3"/>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是否已識別所有關鍵變因，並設計了嚴謹的控制組與實驗組？</w:t>
      </w:r>
    </w:p>
    <w:p w14:paraId="458AF274" w14:textId="77777777" w:rsidR="00810AD0" w:rsidRPr="00AE2A7B" w:rsidRDefault="00000000">
      <w:pPr>
        <w:numPr>
          <w:ilvl w:val="1"/>
          <w:numId w:val="3"/>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若涉及人體或脊椎動物，是否已啟動倫理審查（</w:t>
      </w:r>
      <w:r w:rsidRPr="00AE2A7B">
        <w:rPr>
          <w:rFonts w:eastAsia="標楷體"/>
          <w:color w:val="1B1C1D"/>
        </w:rPr>
        <w:t>IRB/IACUC</w:t>
      </w:r>
      <w:r w:rsidRPr="00AE2A7B">
        <w:rPr>
          <w:rFonts w:eastAsia="標楷體"/>
          <w:color w:val="1B1C1D"/>
        </w:rPr>
        <w:t>）程序？</w:t>
      </w:r>
    </w:p>
    <w:p w14:paraId="7E8432A4" w14:textId="77777777" w:rsidR="00810AD0" w:rsidRPr="00AE2A7B" w:rsidRDefault="00000000">
      <w:pPr>
        <w:numPr>
          <w:ilvl w:val="0"/>
          <w:numId w:val="25"/>
        </w:numPr>
        <w:pBdr>
          <w:top w:val="nil"/>
          <w:left w:val="nil"/>
          <w:bottom w:val="nil"/>
          <w:right w:val="nil"/>
          <w:between w:val="nil"/>
        </w:pBdr>
        <w:spacing w:line="275" w:lineRule="auto"/>
        <w:rPr>
          <w:rFonts w:eastAsia="標楷體"/>
        </w:rPr>
      </w:pPr>
      <w:r w:rsidRPr="00AE2A7B">
        <w:rPr>
          <w:rFonts w:eastAsia="標楷體"/>
          <w:b/>
          <w:color w:val="1B1C1D"/>
        </w:rPr>
        <w:t>執行階段</w:t>
      </w:r>
      <w:r w:rsidRPr="00AE2A7B">
        <w:rPr>
          <w:rFonts w:eastAsia="標楷體"/>
          <w:color w:val="1B1C1D"/>
        </w:rPr>
        <w:t>：</w:t>
      </w:r>
    </w:p>
    <w:p w14:paraId="3097AA00" w14:textId="77777777" w:rsidR="00810AD0" w:rsidRPr="00AE2A7B" w:rsidRDefault="00000000">
      <w:pPr>
        <w:numPr>
          <w:ilvl w:val="1"/>
          <w:numId w:val="4"/>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是否已建立符合科學規範的實驗記錄系統（如使用墨水筆、註明日期、記錄所有原始數據於線裝本）？</w:t>
      </w:r>
    </w:p>
    <w:p w14:paraId="4561958C" w14:textId="77777777" w:rsidR="00810AD0" w:rsidRPr="00AE2A7B" w:rsidRDefault="00000000">
      <w:pPr>
        <w:numPr>
          <w:ilvl w:val="1"/>
          <w:numId w:val="4"/>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若使用自製儀器，是否已規劃校正程序以驗證其準確性？</w:t>
      </w:r>
    </w:p>
    <w:p w14:paraId="4BB2E3A4" w14:textId="77777777" w:rsidR="00810AD0" w:rsidRPr="00AE2A7B" w:rsidRDefault="00000000">
      <w:pPr>
        <w:numPr>
          <w:ilvl w:val="0"/>
          <w:numId w:val="25"/>
        </w:numPr>
        <w:pBdr>
          <w:top w:val="nil"/>
          <w:left w:val="nil"/>
          <w:bottom w:val="nil"/>
          <w:right w:val="nil"/>
          <w:between w:val="nil"/>
        </w:pBdr>
        <w:spacing w:line="275" w:lineRule="auto"/>
        <w:rPr>
          <w:rFonts w:eastAsia="標楷體"/>
        </w:rPr>
      </w:pPr>
      <w:r w:rsidRPr="00AE2A7B">
        <w:rPr>
          <w:rFonts w:eastAsia="標楷體"/>
          <w:b/>
          <w:color w:val="1B1C1D"/>
        </w:rPr>
        <w:t>分析與報告階段</w:t>
      </w:r>
      <w:r w:rsidRPr="00AE2A7B">
        <w:rPr>
          <w:rFonts w:eastAsia="標楷體"/>
          <w:color w:val="1B1C1D"/>
        </w:rPr>
        <w:t>：</w:t>
      </w:r>
    </w:p>
    <w:p w14:paraId="28D3E4DE" w14:textId="77777777" w:rsidR="00810AD0" w:rsidRPr="00AE2A7B" w:rsidRDefault="00000000">
      <w:pPr>
        <w:numPr>
          <w:ilvl w:val="1"/>
          <w:numId w:val="5"/>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數據分析是否採用了合適的統計方法來檢驗假說？</w:t>
      </w:r>
    </w:p>
    <w:p w14:paraId="63FFEDC4" w14:textId="77777777" w:rsidR="00810AD0" w:rsidRPr="00AE2A7B" w:rsidRDefault="00000000">
      <w:pPr>
        <w:numPr>
          <w:ilvl w:val="1"/>
          <w:numId w:val="5"/>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報告是否不僅描述結果，更深入解釋了其背後的科學機制？</w:t>
      </w:r>
    </w:p>
    <w:p w14:paraId="6C515F3A" w14:textId="77777777" w:rsidR="00810AD0" w:rsidRPr="00AE2A7B" w:rsidRDefault="00000000">
      <w:pPr>
        <w:numPr>
          <w:ilvl w:val="1"/>
          <w:numId w:val="5"/>
        </w:numPr>
        <w:pBdr>
          <w:top w:val="nil"/>
          <w:left w:val="nil"/>
          <w:bottom w:val="nil"/>
          <w:right w:val="nil"/>
          <w:between w:val="nil"/>
        </w:pBdr>
        <w:spacing w:line="275" w:lineRule="auto"/>
        <w:rPr>
          <w:rFonts w:eastAsia="標楷體"/>
        </w:rPr>
      </w:pPr>
      <w:r w:rsidRPr="00AE2A7B">
        <w:rPr>
          <w:rFonts w:eastAsia="標楷體"/>
          <w:color w:val="1B1C1D"/>
        </w:rPr>
        <w:t xml:space="preserve">□ </w:t>
      </w:r>
      <w:r w:rsidRPr="00AE2A7B">
        <w:rPr>
          <w:rFonts w:eastAsia="標楷體"/>
          <w:color w:val="1B1C1D"/>
        </w:rPr>
        <w:t>是否誠實地討論了研究的局限性及其對結論的影響？</w:t>
      </w:r>
    </w:p>
    <w:p w14:paraId="28DDE345" w14:textId="2FEF2037" w:rsidR="00810AD0" w:rsidRPr="00AE2A7B" w:rsidRDefault="00000000" w:rsidP="00AE2A7B">
      <w:pPr>
        <w:numPr>
          <w:ilvl w:val="1"/>
          <w:numId w:val="5"/>
        </w:numPr>
        <w:pBdr>
          <w:top w:val="nil"/>
          <w:left w:val="nil"/>
          <w:bottom w:val="nil"/>
          <w:right w:val="nil"/>
          <w:between w:val="nil"/>
        </w:pBdr>
        <w:spacing w:after="120" w:line="275" w:lineRule="auto"/>
        <w:rPr>
          <w:rFonts w:eastAsia="標楷體"/>
        </w:rPr>
      </w:pPr>
      <w:r w:rsidRPr="00AE2A7B">
        <w:rPr>
          <w:rFonts w:eastAsia="標楷體"/>
          <w:color w:val="1B1C1D"/>
        </w:rPr>
        <w:t xml:space="preserve">□ </w:t>
      </w:r>
      <w:r w:rsidRPr="00AE2A7B">
        <w:rPr>
          <w:rFonts w:eastAsia="標楷體"/>
          <w:color w:val="1B1C1D"/>
        </w:rPr>
        <w:t>是否將研究成果與現有技術或文獻進行了量化比較，以凸顯其價值？</w:t>
      </w:r>
    </w:p>
    <w:p w14:paraId="242EC7A0" w14:textId="743207DE"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5.2 </w:t>
      </w:r>
      <w:r w:rsidRPr="00AE2A7B">
        <w:rPr>
          <w:rFonts w:eastAsia="標楷體"/>
          <w:color w:val="1B1C1D"/>
        </w:rPr>
        <w:t>數據的必要性：量化分析與呈現的最佳實踐</w:t>
      </w:r>
    </w:p>
    <w:p w14:paraId="31ACFCB9"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本節提供數據處理的指導原則，旨在避免最常見的統計與呈現錯誤。</w:t>
      </w:r>
    </w:p>
    <w:p w14:paraId="54681681" w14:textId="517EEDA6" w:rsidR="00810AD0" w:rsidRPr="00AE2A7B" w:rsidRDefault="00000000">
      <w:pPr>
        <w:numPr>
          <w:ilvl w:val="0"/>
          <w:numId w:val="6"/>
        </w:numPr>
        <w:pBdr>
          <w:top w:val="nil"/>
          <w:left w:val="nil"/>
          <w:bottom w:val="nil"/>
          <w:right w:val="nil"/>
          <w:between w:val="nil"/>
        </w:pBdr>
        <w:spacing w:line="275" w:lineRule="auto"/>
        <w:rPr>
          <w:rFonts w:eastAsia="標楷體"/>
        </w:rPr>
      </w:pPr>
      <w:r w:rsidRPr="00AE2A7B">
        <w:rPr>
          <w:rFonts w:eastAsia="標楷體"/>
          <w:b/>
          <w:color w:val="1B1C1D"/>
        </w:rPr>
        <w:t>統計的基礎</w:t>
      </w:r>
      <w:r w:rsidRPr="00AE2A7B">
        <w:rPr>
          <w:rFonts w:eastAsia="標楷體"/>
          <w:color w:val="1B1C1D"/>
        </w:rPr>
        <w:t>：務必進行統計顯著性檢定（如計算</w:t>
      </w:r>
      <w:r w:rsidRPr="00AE2A7B">
        <w:rPr>
          <w:rFonts w:eastAsia="標楷體"/>
          <w:color w:val="1B1C1D"/>
        </w:rPr>
        <w:t>p-value</w:t>
      </w:r>
      <w:r w:rsidRPr="00AE2A7B">
        <w:rPr>
          <w:rFonts w:eastAsia="標楷體"/>
          <w:color w:val="1B1C1D"/>
        </w:rPr>
        <w:t>），以證明觀察到的差異並非偶然。</w:t>
      </w:r>
    </w:p>
    <w:p w14:paraId="38342FC6" w14:textId="77777777" w:rsidR="00810AD0" w:rsidRPr="00AE2A7B" w:rsidRDefault="00000000">
      <w:pPr>
        <w:numPr>
          <w:ilvl w:val="0"/>
          <w:numId w:val="6"/>
        </w:numPr>
        <w:pBdr>
          <w:top w:val="nil"/>
          <w:left w:val="nil"/>
          <w:bottom w:val="nil"/>
          <w:right w:val="nil"/>
          <w:between w:val="nil"/>
        </w:pBdr>
        <w:spacing w:line="275" w:lineRule="auto"/>
        <w:rPr>
          <w:rFonts w:eastAsia="標楷體"/>
        </w:rPr>
      </w:pPr>
      <w:r w:rsidRPr="00AE2A7B">
        <w:rPr>
          <w:rFonts w:eastAsia="標楷體"/>
          <w:b/>
          <w:color w:val="1B1C1D"/>
        </w:rPr>
        <w:t>呈現的標準</w:t>
      </w:r>
      <w:r w:rsidRPr="00AE2A7B">
        <w:rPr>
          <w:rFonts w:eastAsia="標楷體"/>
          <w:color w:val="1B1C1D"/>
        </w:rPr>
        <w:t>：在所有圖表中，應標示誤差棒（</w:t>
      </w:r>
      <w:r w:rsidRPr="00AE2A7B">
        <w:rPr>
          <w:rFonts w:eastAsia="標楷體"/>
          <w:color w:val="1B1C1D"/>
        </w:rPr>
        <w:t>error bars</w:t>
      </w:r>
      <w:r w:rsidRPr="00AE2A7B">
        <w:rPr>
          <w:rFonts w:eastAsia="標楷體"/>
          <w:color w:val="1B1C1D"/>
        </w:rPr>
        <w:t>），以呈現數據的變異程度（如標準差或標準誤）。相較於充滿原始數據的表格，應優先使用清晰的圖形（如長條圖、散佈圖）來呈現關鍵發現。</w:t>
      </w:r>
    </w:p>
    <w:p w14:paraId="035F7FB9" w14:textId="3039861E" w:rsidR="00810AD0" w:rsidRPr="00AE2A7B" w:rsidRDefault="00000000" w:rsidP="00AE2A7B">
      <w:pPr>
        <w:numPr>
          <w:ilvl w:val="0"/>
          <w:numId w:val="6"/>
        </w:numPr>
        <w:pBdr>
          <w:top w:val="nil"/>
          <w:left w:val="nil"/>
          <w:bottom w:val="nil"/>
          <w:right w:val="nil"/>
          <w:between w:val="nil"/>
        </w:pBdr>
        <w:spacing w:after="120" w:line="275" w:lineRule="auto"/>
        <w:rPr>
          <w:rFonts w:eastAsia="標楷體"/>
        </w:rPr>
      </w:pPr>
      <w:r w:rsidRPr="00AE2A7B">
        <w:rPr>
          <w:rFonts w:eastAsia="標楷體"/>
          <w:b/>
          <w:color w:val="1B1C1D"/>
        </w:rPr>
        <w:t>科學的誠信</w:t>
      </w:r>
      <w:r w:rsidRPr="00AE2A7B">
        <w:rPr>
          <w:rFonts w:eastAsia="標楷體"/>
          <w:color w:val="1B1C1D"/>
        </w:rPr>
        <w:t>：堅決反對「挑數據」的行為。應報告所有的實驗結果，包括那些不支持假說的「負面結果」，並在討論中加以分析。這才是科學精神的體現。</w:t>
      </w:r>
    </w:p>
    <w:p w14:paraId="612BB7C7" w14:textId="0D6FEA60" w:rsidR="00810AD0" w:rsidRPr="00AE2A7B" w:rsidRDefault="00000000" w:rsidP="00AE2A7B">
      <w:pPr>
        <w:pStyle w:val="3"/>
        <w:spacing w:before="0" w:after="120" w:line="275" w:lineRule="auto"/>
        <w:rPr>
          <w:rFonts w:eastAsia="標楷體"/>
          <w:color w:val="1B1C1D"/>
        </w:rPr>
      </w:pPr>
      <w:r w:rsidRPr="00AE2A7B">
        <w:rPr>
          <w:rFonts w:eastAsia="標楷體"/>
          <w:color w:val="1B1C1D"/>
        </w:rPr>
        <w:t xml:space="preserve">5.3 </w:t>
      </w:r>
      <w:r w:rsidRPr="00AE2A7B">
        <w:rPr>
          <w:rFonts w:eastAsia="標楷體"/>
          <w:color w:val="1B1C1D"/>
        </w:rPr>
        <w:t>誠信的標準：掌握實驗記錄本與研究倫理</w:t>
      </w:r>
    </w:p>
    <w:p w14:paraId="65363ECF"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本節旨在建立研究過程的誠信標準，特別是實驗記錄本的規範。</w:t>
      </w:r>
    </w:p>
    <w:p w14:paraId="6D148328" w14:textId="77777777" w:rsidR="00810AD0" w:rsidRPr="00AE2A7B" w:rsidRDefault="00000000">
      <w:pPr>
        <w:numPr>
          <w:ilvl w:val="0"/>
          <w:numId w:val="7"/>
        </w:numPr>
        <w:pBdr>
          <w:top w:val="nil"/>
          <w:left w:val="nil"/>
          <w:bottom w:val="nil"/>
          <w:right w:val="nil"/>
          <w:between w:val="nil"/>
        </w:pBdr>
        <w:spacing w:line="275" w:lineRule="auto"/>
        <w:rPr>
          <w:rFonts w:eastAsia="標楷體"/>
        </w:rPr>
      </w:pPr>
      <w:r w:rsidRPr="00AE2A7B">
        <w:rPr>
          <w:rFonts w:eastAsia="標楷體"/>
          <w:b/>
          <w:color w:val="1B1C1D"/>
        </w:rPr>
        <w:t>實驗記錄本黃金法則</w:t>
      </w:r>
      <w:r w:rsidRPr="00AE2A7B">
        <w:rPr>
          <w:rFonts w:eastAsia="標楷體"/>
          <w:color w:val="1B1C1D"/>
        </w:rPr>
        <w:t>：</w:t>
      </w:r>
    </w:p>
    <w:p w14:paraId="46F88E51" w14:textId="77777777" w:rsidR="00810AD0" w:rsidRPr="00AE2A7B" w:rsidRDefault="00000000">
      <w:pPr>
        <w:numPr>
          <w:ilvl w:val="1"/>
          <w:numId w:val="8"/>
        </w:numPr>
        <w:pBdr>
          <w:top w:val="nil"/>
          <w:left w:val="nil"/>
          <w:bottom w:val="nil"/>
          <w:right w:val="nil"/>
          <w:between w:val="nil"/>
        </w:pBdr>
        <w:spacing w:line="275" w:lineRule="auto"/>
        <w:rPr>
          <w:rFonts w:eastAsia="標楷體"/>
        </w:rPr>
      </w:pPr>
      <w:r w:rsidRPr="00AE2A7B">
        <w:rPr>
          <w:rFonts w:eastAsia="標楷體"/>
          <w:b/>
          <w:color w:val="1B1C1D"/>
        </w:rPr>
        <w:t>使用線裝筆記本</w:t>
      </w:r>
      <w:r w:rsidRPr="00AE2A7B">
        <w:rPr>
          <w:rFonts w:eastAsia="標楷體"/>
          <w:color w:val="1B1C1D"/>
        </w:rPr>
        <w:t>：防止頁面被抽換或遺失。</w:t>
      </w:r>
    </w:p>
    <w:p w14:paraId="48788BC6" w14:textId="77777777" w:rsidR="00810AD0" w:rsidRPr="00AE2A7B" w:rsidRDefault="00000000">
      <w:pPr>
        <w:numPr>
          <w:ilvl w:val="1"/>
          <w:numId w:val="8"/>
        </w:numPr>
        <w:pBdr>
          <w:top w:val="nil"/>
          <w:left w:val="nil"/>
          <w:bottom w:val="nil"/>
          <w:right w:val="nil"/>
          <w:between w:val="nil"/>
        </w:pBdr>
        <w:spacing w:line="275" w:lineRule="auto"/>
        <w:rPr>
          <w:rFonts w:eastAsia="標楷體"/>
        </w:rPr>
      </w:pPr>
      <w:r w:rsidRPr="00AE2A7B">
        <w:rPr>
          <w:rFonts w:eastAsia="標楷體"/>
          <w:b/>
          <w:color w:val="1B1C1D"/>
        </w:rPr>
        <w:t>使用無法擦拭的墨水筆</w:t>
      </w:r>
      <w:r w:rsidRPr="00AE2A7B">
        <w:rPr>
          <w:rFonts w:eastAsia="標楷體"/>
          <w:color w:val="1B1C1D"/>
        </w:rPr>
        <w:t>：確保記錄的永久性。</w:t>
      </w:r>
    </w:p>
    <w:p w14:paraId="5396F64F" w14:textId="77777777" w:rsidR="00810AD0" w:rsidRPr="00AE2A7B" w:rsidRDefault="00000000">
      <w:pPr>
        <w:numPr>
          <w:ilvl w:val="1"/>
          <w:numId w:val="8"/>
        </w:numPr>
        <w:pBdr>
          <w:top w:val="nil"/>
          <w:left w:val="nil"/>
          <w:bottom w:val="nil"/>
          <w:right w:val="nil"/>
          <w:between w:val="nil"/>
        </w:pBdr>
        <w:spacing w:line="275" w:lineRule="auto"/>
        <w:rPr>
          <w:rFonts w:eastAsia="標楷體"/>
        </w:rPr>
      </w:pPr>
      <w:r w:rsidRPr="00AE2A7B">
        <w:rPr>
          <w:rFonts w:eastAsia="標楷體"/>
          <w:b/>
          <w:color w:val="1B1C1D"/>
        </w:rPr>
        <w:t>每日註明日期</w:t>
      </w:r>
      <w:r w:rsidRPr="00AE2A7B">
        <w:rPr>
          <w:rFonts w:eastAsia="標楷體"/>
          <w:color w:val="1B1C1D"/>
        </w:rPr>
        <w:t>：建立清晰的時間軸。</w:t>
      </w:r>
    </w:p>
    <w:p w14:paraId="61740432" w14:textId="77777777" w:rsidR="00810AD0" w:rsidRPr="00AE2A7B" w:rsidRDefault="00000000">
      <w:pPr>
        <w:numPr>
          <w:ilvl w:val="1"/>
          <w:numId w:val="8"/>
        </w:numPr>
        <w:pBdr>
          <w:top w:val="nil"/>
          <w:left w:val="nil"/>
          <w:bottom w:val="nil"/>
          <w:right w:val="nil"/>
          <w:between w:val="nil"/>
        </w:pBdr>
        <w:spacing w:line="275" w:lineRule="auto"/>
        <w:rPr>
          <w:rFonts w:eastAsia="標楷體"/>
        </w:rPr>
      </w:pPr>
      <w:r w:rsidRPr="00AE2A7B">
        <w:rPr>
          <w:rFonts w:eastAsia="標楷體"/>
          <w:b/>
          <w:color w:val="1B1C1D"/>
        </w:rPr>
        <w:t>即時記錄</w:t>
      </w:r>
      <w:r w:rsidRPr="00AE2A7B">
        <w:rPr>
          <w:rFonts w:eastAsia="標楷體"/>
          <w:color w:val="1B1C1D"/>
        </w:rPr>
        <w:t>：在實驗當下直接記錄觀察與原始數據，而非事後謄寫。</w:t>
      </w:r>
    </w:p>
    <w:p w14:paraId="3AD1E7A7" w14:textId="77777777" w:rsidR="00810AD0" w:rsidRPr="00AE2A7B" w:rsidRDefault="00000000">
      <w:pPr>
        <w:numPr>
          <w:ilvl w:val="1"/>
          <w:numId w:val="8"/>
        </w:numPr>
        <w:pBdr>
          <w:top w:val="nil"/>
          <w:left w:val="nil"/>
          <w:bottom w:val="nil"/>
          <w:right w:val="nil"/>
          <w:between w:val="nil"/>
        </w:pBdr>
        <w:spacing w:line="275" w:lineRule="auto"/>
        <w:rPr>
          <w:rFonts w:eastAsia="標楷體"/>
        </w:rPr>
      </w:pPr>
      <w:r w:rsidRPr="00AE2A7B">
        <w:rPr>
          <w:rFonts w:eastAsia="標楷體"/>
          <w:b/>
          <w:color w:val="1B1C1D"/>
        </w:rPr>
        <w:t>記錄一切</w:t>
      </w:r>
      <w:r w:rsidRPr="00AE2A7B">
        <w:rPr>
          <w:rFonts w:eastAsia="標楷體"/>
          <w:color w:val="1B1C1D"/>
        </w:rPr>
        <w:t>：不僅記錄成功的數據，更要記錄失敗的嘗試、遇到的問題以及方法的修改。這份完整的歷程是研究真實性的最佳證明。</w:t>
      </w:r>
    </w:p>
    <w:p w14:paraId="15681851" w14:textId="6D4CBA11" w:rsidR="00810AD0" w:rsidRPr="00AE2A7B" w:rsidRDefault="00000000" w:rsidP="00AE2A7B">
      <w:pPr>
        <w:numPr>
          <w:ilvl w:val="0"/>
          <w:numId w:val="7"/>
        </w:numPr>
        <w:pBdr>
          <w:top w:val="nil"/>
          <w:left w:val="nil"/>
          <w:bottom w:val="nil"/>
          <w:right w:val="nil"/>
          <w:between w:val="nil"/>
        </w:pBdr>
        <w:spacing w:after="120" w:line="275" w:lineRule="auto"/>
        <w:rPr>
          <w:rFonts w:eastAsia="標楷體"/>
        </w:rPr>
      </w:pPr>
      <w:r w:rsidRPr="00AE2A7B">
        <w:rPr>
          <w:rFonts w:eastAsia="標楷體"/>
          <w:b/>
          <w:color w:val="1B1C1D"/>
        </w:rPr>
        <w:t>倫理的底線</w:t>
      </w:r>
      <w:r w:rsidRPr="00AE2A7B">
        <w:rPr>
          <w:rFonts w:eastAsia="標楷體"/>
          <w:color w:val="1B1C1D"/>
        </w:rPr>
        <w:t>：務必正確引用所有參考文獻，避免抄襲。在進行涉及人類受試者的研究前，必須了解並遵循倫理審查（</w:t>
      </w:r>
      <w:r w:rsidRPr="00AE2A7B">
        <w:rPr>
          <w:rFonts w:eastAsia="標楷體"/>
          <w:color w:val="1B1C1D"/>
        </w:rPr>
        <w:t>IRB</w:t>
      </w:r>
      <w:r w:rsidRPr="00AE2A7B">
        <w:rPr>
          <w:rFonts w:eastAsia="標楷體"/>
          <w:color w:val="1B1C1D"/>
        </w:rPr>
        <w:t>）的相關規定。</w:t>
      </w:r>
    </w:p>
    <w:p w14:paraId="3526B1AD" w14:textId="338B0B1F" w:rsidR="00810AD0" w:rsidRPr="00AE2A7B" w:rsidRDefault="00000000" w:rsidP="00AE2A7B">
      <w:pPr>
        <w:pStyle w:val="3"/>
        <w:spacing w:before="0" w:after="120" w:line="275" w:lineRule="auto"/>
        <w:rPr>
          <w:rFonts w:eastAsia="標楷體"/>
          <w:color w:val="1B1C1D"/>
        </w:rPr>
      </w:pPr>
      <w:r w:rsidRPr="00AE2A7B">
        <w:rPr>
          <w:rFonts w:eastAsia="標楷體"/>
          <w:color w:val="1B1C1D"/>
        </w:rPr>
        <w:lastRenderedPageBreak/>
        <w:t xml:space="preserve">5.4 </w:t>
      </w:r>
      <w:r w:rsidRPr="00AE2A7B">
        <w:rPr>
          <w:rFonts w:eastAsia="標楷體"/>
          <w:color w:val="1B1C1D"/>
        </w:rPr>
        <w:t>提升敘事層次：闡明創新與影響力</w:t>
      </w:r>
    </w:p>
    <w:p w14:paraId="287AFE69" w14:textId="77777777" w:rsidR="00810AD0" w:rsidRPr="00AE2A7B" w:rsidRDefault="00000000">
      <w:pPr>
        <w:pBdr>
          <w:top w:val="nil"/>
          <w:left w:val="nil"/>
          <w:bottom w:val="nil"/>
          <w:right w:val="nil"/>
          <w:between w:val="nil"/>
        </w:pBdr>
        <w:spacing w:after="120" w:line="275" w:lineRule="auto"/>
        <w:rPr>
          <w:rFonts w:eastAsia="標楷體"/>
          <w:color w:val="1B1C1D"/>
        </w:rPr>
      </w:pPr>
      <w:r w:rsidRPr="00AE2A7B">
        <w:rPr>
          <w:rFonts w:eastAsia="標楷體"/>
          <w:color w:val="1B1C1D"/>
        </w:rPr>
        <w:t>本節提供策略，協助研究者建構一個強而有力的研究敘事，以回答評審心中最重要的問題。</w:t>
      </w:r>
    </w:p>
    <w:p w14:paraId="117EBD57" w14:textId="77777777" w:rsidR="00810AD0" w:rsidRPr="00AE2A7B" w:rsidRDefault="00000000">
      <w:pPr>
        <w:numPr>
          <w:ilvl w:val="0"/>
          <w:numId w:val="9"/>
        </w:numPr>
        <w:pBdr>
          <w:top w:val="nil"/>
          <w:left w:val="nil"/>
          <w:bottom w:val="nil"/>
          <w:right w:val="nil"/>
          <w:between w:val="nil"/>
        </w:pBdr>
        <w:spacing w:line="275" w:lineRule="auto"/>
        <w:rPr>
          <w:rFonts w:eastAsia="標楷體"/>
        </w:rPr>
      </w:pPr>
      <w:r w:rsidRPr="00AE2A7B">
        <w:rPr>
          <w:rFonts w:eastAsia="標楷體"/>
          <w:b/>
          <w:color w:val="1B1C1D"/>
        </w:rPr>
        <w:t>回答「所以呢？」</w:t>
      </w:r>
      <w:r w:rsidRPr="00AE2A7B">
        <w:rPr>
          <w:rFonts w:eastAsia="標楷體"/>
          <w:color w:val="1B1C1D"/>
        </w:rPr>
        <w:t>：在報告的緒論與結論中，必須清晰地回答以下問題：</w:t>
      </w:r>
    </w:p>
    <w:p w14:paraId="4632791D" w14:textId="77777777" w:rsidR="00810AD0" w:rsidRPr="00AE2A7B" w:rsidRDefault="00000000">
      <w:pPr>
        <w:numPr>
          <w:ilvl w:val="1"/>
          <w:numId w:val="10"/>
        </w:numPr>
        <w:pBdr>
          <w:top w:val="nil"/>
          <w:left w:val="nil"/>
          <w:bottom w:val="nil"/>
          <w:right w:val="nil"/>
          <w:between w:val="nil"/>
        </w:pBdr>
        <w:spacing w:line="275" w:lineRule="auto"/>
        <w:rPr>
          <w:rFonts w:eastAsia="標楷體"/>
        </w:rPr>
      </w:pPr>
      <w:r w:rsidRPr="00AE2A7B">
        <w:rPr>
          <w:rFonts w:eastAsia="標楷體"/>
          <w:b/>
          <w:color w:val="1B1C1D"/>
        </w:rPr>
        <w:t>本研究解決了什麼問題？</w:t>
      </w:r>
      <w:r w:rsidRPr="00AE2A7B">
        <w:rPr>
          <w:rFonts w:eastAsia="標楷體"/>
          <w:color w:val="1B1C1D"/>
        </w:rPr>
        <w:t xml:space="preserve"> </w:t>
      </w:r>
      <w:r w:rsidRPr="00AE2A7B">
        <w:rPr>
          <w:rFonts w:eastAsia="標楷體"/>
          <w:color w:val="1B1C1D"/>
        </w:rPr>
        <w:t>（</w:t>
      </w:r>
      <w:r w:rsidRPr="00AE2A7B">
        <w:rPr>
          <w:rFonts w:eastAsia="標楷體"/>
          <w:color w:val="1B1C1D"/>
        </w:rPr>
        <w:t>Problem</w:t>
      </w:r>
      <w:r w:rsidRPr="00AE2A7B">
        <w:rPr>
          <w:rFonts w:eastAsia="標楷體"/>
          <w:color w:val="1B1C1D"/>
        </w:rPr>
        <w:t>）</w:t>
      </w:r>
    </w:p>
    <w:p w14:paraId="195D2474" w14:textId="77777777" w:rsidR="00810AD0" w:rsidRPr="00AE2A7B" w:rsidRDefault="00000000">
      <w:pPr>
        <w:numPr>
          <w:ilvl w:val="1"/>
          <w:numId w:val="10"/>
        </w:numPr>
        <w:pBdr>
          <w:top w:val="nil"/>
          <w:left w:val="nil"/>
          <w:bottom w:val="nil"/>
          <w:right w:val="nil"/>
          <w:between w:val="nil"/>
        </w:pBdr>
        <w:spacing w:line="275" w:lineRule="auto"/>
        <w:rPr>
          <w:rFonts w:eastAsia="標楷體"/>
        </w:rPr>
      </w:pPr>
      <w:r w:rsidRPr="00AE2A7B">
        <w:rPr>
          <w:rFonts w:eastAsia="標楷體"/>
          <w:b/>
          <w:color w:val="1B1C1D"/>
        </w:rPr>
        <w:t>在此之前，學界對此了解多少？</w:t>
      </w:r>
      <w:r w:rsidRPr="00AE2A7B">
        <w:rPr>
          <w:rFonts w:eastAsia="標楷體"/>
          <w:color w:val="1B1C1D"/>
        </w:rPr>
        <w:t xml:space="preserve"> </w:t>
      </w:r>
      <w:r w:rsidRPr="00AE2A7B">
        <w:rPr>
          <w:rFonts w:eastAsia="標楷體"/>
          <w:color w:val="1B1C1D"/>
        </w:rPr>
        <w:t>（</w:t>
      </w:r>
      <w:r w:rsidRPr="00AE2A7B">
        <w:rPr>
          <w:rFonts w:eastAsia="標楷體"/>
          <w:color w:val="1B1C1D"/>
        </w:rPr>
        <w:t>Context</w:t>
      </w:r>
      <w:r w:rsidRPr="00AE2A7B">
        <w:rPr>
          <w:rFonts w:eastAsia="標楷體"/>
          <w:color w:val="1B1C1D"/>
        </w:rPr>
        <w:t>）</w:t>
      </w:r>
    </w:p>
    <w:p w14:paraId="254C4498" w14:textId="77777777" w:rsidR="00810AD0" w:rsidRPr="00AE2A7B" w:rsidRDefault="00000000">
      <w:pPr>
        <w:numPr>
          <w:ilvl w:val="1"/>
          <w:numId w:val="10"/>
        </w:numPr>
        <w:pBdr>
          <w:top w:val="nil"/>
          <w:left w:val="nil"/>
          <w:bottom w:val="nil"/>
          <w:right w:val="nil"/>
          <w:between w:val="nil"/>
        </w:pBdr>
        <w:spacing w:line="275" w:lineRule="auto"/>
        <w:rPr>
          <w:rFonts w:eastAsia="標楷體"/>
        </w:rPr>
      </w:pPr>
      <w:r w:rsidRPr="00AE2A7B">
        <w:rPr>
          <w:rFonts w:eastAsia="標楷體"/>
          <w:b/>
          <w:color w:val="1B1C1D"/>
        </w:rPr>
        <w:t>我的具體貢獻是什麼？（新發現、新方法、或新解釋）</w:t>
      </w:r>
      <w:r w:rsidRPr="00AE2A7B">
        <w:rPr>
          <w:rFonts w:eastAsia="標楷體"/>
          <w:color w:val="1B1C1D"/>
        </w:rPr>
        <w:t xml:space="preserve"> </w:t>
      </w:r>
      <w:r w:rsidRPr="00AE2A7B">
        <w:rPr>
          <w:rFonts w:eastAsia="標楷體"/>
          <w:color w:val="1B1C1D"/>
        </w:rPr>
        <w:t>（</w:t>
      </w:r>
      <w:r w:rsidRPr="00AE2A7B">
        <w:rPr>
          <w:rFonts w:eastAsia="標楷體"/>
          <w:color w:val="1B1C1D"/>
        </w:rPr>
        <w:t>Contribution</w:t>
      </w:r>
      <w:r w:rsidRPr="00AE2A7B">
        <w:rPr>
          <w:rFonts w:eastAsia="標楷體"/>
          <w:color w:val="1B1C1D"/>
        </w:rPr>
        <w:t>）</w:t>
      </w:r>
    </w:p>
    <w:p w14:paraId="79F03582" w14:textId="77777777" w:rsidR="00810AD0" w:rsidRPr="00AE2A7B" w:rsidRDefault="00000000">
      <w:pPr>
        <w:numPr>
          <w:ilvl w:val="1"/>
          <w:numId w:val="10"/>
        </w:numPr>
        <w:pBdr>
          <w:top w:val="nil"/>
          <w:left w:val="nil"/>
          <w:bottom w:val="nil"/>
          <w:right w:val="nil"/>
          <w:between w:val="nil"/>
        </w:pBdr>
        <w:spacing w:line="275" w:lineRule="auto"/>
        <w:rPr>
          <w:rFonts w:eastAsia="標楷體"/>
        </w:rPr>
      </w:pPr>
      <w:r w:rsidRPr="00AE2A7B">
        <w:rPr>
          <w:rFonts w:eastAsia="標楷體"/>
          <w:b/>
          <w:color w:val="1B1C1D"/>
        </w:rPr>
        <w:t>這項貢獻為何重要？（理論價值或應用潛力）</w:t>
      </w:r>
      <w:r w:rsidRPr="00AE2A7B">
        <w:rPr>
          <w:rFonts w:eastAsia="標楷體"/>
          <w:color w:val="1B1C1D"/>
        </w:rPr>
        <w:t xml:space="preserve"> </w:t>
      </w:r>
      <w:r w:rsidRPr="00AE2A7B">
        <w:rPr>
          <w:rFonts w:eastAsia="標楷體"/>
          <w:color w:val="1B1C1D"/>
        </w:rPr>
        <w:t>（</w:t>
      </w:r>
      <w:r w:rsidRPr="00AE2A7B">
        <w:rPr>
          <w:rFonts w:eastAsia="標楷體"/>
          <w:color w:val="1B1C1D"/>
        </w:rPr>
        <w:t>Significance</w:t>
      </w:r>
      <w:r w:rsidRPr="00AE2A7B">
        <w:rPr>
          <w:rFonts w:eastAsia="標楷體"/>
          <w:color w:val="1B1C1D"/>
        </w:rPr>
        <w:t>）</w:t>
      </w:r>
    </w:p>
    <w:p w14:paraId="4B05AAEA" w14:textId="439099BA" w:rsidR="00810AD0" w:rsidRPr="00AE2A7B" w:rsidRDefault="00000000" w:rsidP="00AE2A7B">
      <w:pPr>
        <w:numPr>
          <w:ilvl w:val="0"/>
          <w:numId w:val="9"/>
        </w:numPr>
        <w:pBdr>
          <w:top w:val="nil"/>
          <w:left w:val="nil"/>
          <w:bottom w:val="nil"/>
          <w:right w:val="nil"/>
          <w:between w:val="nil"/>
        </w:pBdr>
        <w:spacing w:after="120" w:line="275" w:lineRule="auto"/>
        <w:rPr>
          <w:rFonts w:eastAsia="標楷體"/>
        </w:rPr>
      </w:pPr>
      <w:r w:rsidRPr="00AE2A7B">
        <w:rPr>
          <w:rFonts w:eastAsia="標楷體"/>
          <w:b/>
          <w:color w:val="1B1C1D"/>
        </w:rPr>
        <w:t>坦誠面對局限</w:t>
      </w:r>
      <w:r w:rsidRPr="00AE2A7B">
        <w:rPr>
          <w:rFonts w:eastAsia="標楷體"/>
          <w:color w:val="1B1C1D"/>
        </w:rPr>
        <w:t>：在結論部分，主動闡明研究的局限性，並提出具體的未來研究方向。這不僅不會削弱研究，反而會展現研究者嚴謹、客觀的科學態度，為作品加分。</w:t>
      </w:r>
    </w:p>
    <w:sectPr w:rsidR="00810AD0" w:rsidRPr="00AE2A7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E2FDD23-FE74-7240-832F-8FC81C0BE847}"/>
    <w:embedBold r:id="rId2" w:fontKey="{5BF03239-691E-7843-AF2D-07E97730E6E9}"/>
    <w:embedItalic r:id="rId3" w:fontKey="{C507DCC7-8F79-934B-B3FD-0CB6B540B54B}"/>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embedRegular r:id="rId4" w:fontKey="{C91DC58B-83E9-1447-BC63-9F643D8C2B21}"/>
  </w:font>
  <w:font w:name="Georgia">
    <w:panose1 w:val="02040502050405020303"/>
    <w:charset w:val="00"/>
    <w:family w:val="roman"/>
    <w:pitch w:val="variable"/>
    <w:sig w:usb0="00000287" w:usb1="00000000" w:usb2="00000000" w:usb3="00000000" w:csb0="0000009F" w:csb1="00000000"/>
    <w:embedRegular r:id="rId5" w:fontKey="{E8181816-D22B-8C42-A94C-A23A601245D5}"/>
    <w:embedItalic r:id="rId6" w:fontKey="{9F0ED623-1C3F-7F4D-85C9-1BFFDE04D4BF}"/>
  </w:font>
  <w:font w:name="標楷體">
    <w:altName w:val="DFKai-SB"/>
    <w:panose1 w:val="020B0604020202020204"/>
    <w:charset w:val="88"/>
    <w:family w:val="script"/>
    <w:pitch w:val="fixed"/>
    <w:sig w:usb0="00000003" w:usb1="080E0000" w:usb2="00000016" w:usb3="00000000" w:csb0="00100001" w:csb1="00000000"/>
    <w:embedRegular r:id="rId7" w:subsetted="1" w:fontKey="{02156E89-C276-344C-B0C6-935F243AFFD0}"/>
    <w:embedBold r:id="rId8" w:subsetted="1" w:fontKey="{860A4C27-32B6-6642-AE3A-5076A41709A3}"/>
  </w:font>
  <w:font w:name="Calibri">
    <w:panose1 w:val="020F0502020204030204"/>
    <w:charset w:val="00"/>
    <w:family w:val="swiss"/>
    <w:pitch w:val="variable"/>
    <w:sig w:usb0="E4002EFF" w:usb1="C200247B" w:usb2="00000009" w:usb3="00000000" w:csb0="000001FF" w:csb1="00000000"/>
    <w:embedRegular r:id="rId9" w:fontKey="{72A3A7A6-9620-FC43-8448-698813263162}"/>
  </w:font>
  <w:font w:name="Cambria">
    <w:panose1 w:val="02040503050406030204"/>
    <w:charset w:val="00"/>
    <w:family w:val="roman"/>
    <w:pitch w:val="variable"/>
    <w:sig w:usb0="E00006FF" w:usb1="420024FF" w:usb2="02000000" w:usb3="00000000" w:csb0="0000019F" w:csb1="00000000"/>
    <w:embedRegular r:id="rId10" w:fontKey="{ED8D3DE4-B18E-364B-8273-2D0109F160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DA0"/>
    <w:multiLevelType w:val="multilevel"/>
    <w:tmpl w:val="BA8631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59B3CF3"/>
    <w:multiLevelType w:val="multilevel"/>
    <w:tmpl w:val="E996A8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BF14923"/>
    <w:multiLevelType w:val="multilevel"/>
    <w:tmpl w:val="EB98D5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2FC0CED"/>
    <w:multiLevelType w:val="multilevel"/>
    <w:tmpl w:val="27D2FF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5625A1C"/>
    <w:multiLevelType w:val="multilevel"/>
    <w:tmpl w:val="425E76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58E7017"/>
    <w:multiLevelType w:val="multilevel"/>
    <w:tmpl w:val="D1D2DE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67F1554"/>
    <w:multiLevelType w:val="multilevel"/>
    <w:tmpl w:val="B5C0FC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78B2B40"/>
    <w:multiLevelType w:val="multilevel"/>
    <w:tmpl w:val="BDF6F7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B8C626F"/>
    <w:multiLevelType w:val="multilevel"/>
    <w:tmpl w:val="EBF6E4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E7B65B5"/>
    <w:multiLevelType w:val="multilevel"/>
    <w:tmpl w:val="57DE71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4636A3C"/>
    <w:multiLevelType w:val="multilevel"/>
    <w:tmpl w:val="79A2BC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59E29F7"/>
    <w:multiLevelType w:val="multilevel"/>
    <w:tmpl w:val="3E7EEF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7225DEB"/>
    <w:multiLevelType w:val="multilevel"/>
    <w:tmpl w:val="961AD7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0453DAF"/>
    <w:multiLevelType w:val="multilevel"/>
    <w:tmpl w:val="609EE0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54B74E9"/>
    <w:multiLevelType w:val="multilevel"/>
    <w:tmpl w:val="C36A4A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BF0492E"/>
    <w:multiLevelType w:val="multilevel"/>
    <w:tmpl w:val="568CAE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FA800F8"/>
    <w:multiLevelType w:val="multilevel"/>
    <w:tmpl w:val="C8829B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0A90FBF"/>
    <w:multiLevelType w:val="multilevel"/>
    <w:tmpl w:val="75FCE7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65082DFE"/>
    <w:multiLevelType w:val="multilevel"/>
    <w:tmpl w:val="4B28B9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62B4265"/>
    <w:multiLevelType w:val="multilevel"/>
    <w:tmpl w:val="9CC493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70D3015"/>
    <w:multiLevelType w:val="multilevel"/>
    <w:tmpl w:val="B8FC336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E9A686D"/>
    <w:multiLevelType w:val="multilevel"/>
    <w:tmpl w:val="F1D28F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34F65C1"/>
    <w:multiLevelType w:val="multilevel"/>
    <w:tmpl w:val="C50634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76060978"/>
    <w:multiLevelType w:val="multilevel"/>
    <w:tmpl w:val="F6A23A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E566F33"/>
    <w:multiLevelType w:val="multilevel"/>
    <w:tmpl w:val="73DACF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08438733">
    <w:abstractNumId w:val="23"/>
  </w:num>
  <w:num w:numId="2" w16cid:durableId="2073697690">
    <w:abstractNumId w:val="9"/>
  </w:num>
  <w:num w:numId="3" w16cid:durableId="1691376666">
    <w:abstractNumId w:val="7"/>
  </w:num>
  <w:num w:numId="4" w16cid:durableId="1430273605">
    <w:abstractNumId w:val="12"/>
  </w:num>
  <w:num w:numId="5" w16cid:durableId="182473847">
    <w:abstractNumId w:val="18"/>
  </w:num>
  <w:num w:numId="6" w16cid:durableId="698702646">
    <w:abstractNumId w:val="0"/>
  </w:num>
  <w:num w:numId="7" w16cid:durableId="1447890434">
    <w:abstractNumId w:val="17"/>
  </w:num>
  <w:num w:numId="8" w16cid:durableId="518667965">
    <w:abstractNumId w:val="2"/>
  </w:num>
  <w:num w:numId="9" w16cid:durableId="2102481044">
    <w:abstractNumId w:val="10"/>
  </w:num>
  <w:num w:numId="10" w16cid:durableId="258223882">
    <w:abstractNumId w:val="3"/>
  </w:num>
  <w:num w:numId="11" w16cid:durableId="1946232202">
    <w:abstractNumId w:val="20"/>
  </w:num>
  <w:num w:numId="12" w16cid:durableId="405033490">
    <w:abstractNumId w:val="15"/>
  </w:num>
  <w:num w:numId="13" w16cid:durableId="1016812145">
    <w:abstractNumId w:val="21"/>
  </w:num>
  <w:num w:numId="14" w16cid:durableId="2003464710">
    <w:abstractNumId w:val="4"/>
  </w:num>
  <w:num w:numId="15" w16cid:durableId="522011329">
    <w:abstractNumId w:val="22"/>
  </w:num>
  <w:num w:numId="16" w16cid:durableId="320164385">
    <w:abstractNumId w:val="11"/>
  </w:num>
  <w:num w:numId="17" w16cid:durableId="1133256588">
    <w:abstractNumId w:val="24"/>
  </w:num>
  <w:num w:numId="18" w16cid:durableId="1492063870">
    <w:abstractNumId w:val="1"/>
  </w:num>
  <w:num w:numId="19" w16cid:durableId="1674339887">
    <w:abstractNumId w:val="19"/>
  </w:num>
  <w:num w:numId="20" w16cid:durableId="1875262860">
    <w:abstractNumId w:val="5"/>
  </w:num>
  <w:num w:numId="21" w16cid:durableId="1752968801">
    <w:abstractNumId w:val="14"/>
  </w:num>
  <w:num w:numId="22" w16cid:durableId="1471895564">
    <w:abstractNumId w:val="13"/>
  </w:num>
  <w:num w:numId="23" w16cid:durableId="2076932590">
    <w:abstractNumId w:val="8"/>
  </w:num>
  <w:num w:numId="24" w16cid:durableId="212037965">
    <w:abstractNumId w:val="6"/>
  </w:num>
  <w:num w:numId="25" w16cid:durableId="16468105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AD0"/>
    <w:rsid w:val="000470A9"/>
    <w:rsid w:val="000A4EB6"/>
    <w:rsid w:val="003F60C5"/>
    <w:rsid w:val="005632ED"/>
    <w:rsid w:val="00810AD0"/>
    <w:rsid w:val="00AE2A7B"/>
    <w:rsid w:val="00D415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A201D6C"/>
  <w15:docId w15:val="{2238B7AB-8235-644A-ADC6-DDCEA84D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a7">
    <w:name w:val="Hyperlink"/>
    <w:basedOn w:val="a0"/>
    <w:uiPriority w:val="99"/>
    <w:unhideWhenUsed/>
    <w:rsid w:val="005632ED"/>
    <w:rPr>
      <w:color w:val="0000FF" w:themeColor="hyperlink"/>
      <w:u w:val="single"/>
    </w:rPr>
  </w:style>
  <w:style w:type="character" w:styleId="a8">
    <w:name w:val="Unresolved Mention"/>
    <w:basedOn w:val="a0"/>
    <w:uiPriority w:val="99"/>
    <w:semiHidden/>
    <w:unhideWhenUsed/>
    <w:rsid w:val="00563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pify.so/share-link/ULhNumPDTs"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1394</Words>
  <Characters>7948</Characters>
  <Application>Microsoft Office Word</Application>
  <DocSecurity>0</DocSecurity>
  <Lines>66</Lines>
  <Paragraphs>18</Paragraphs>
  <ScaleCrop>false</ScaleCrop>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frog lin</cp:lastModifiedBy>
  <cp:revision>6</cp:revision>
  <dcterms:created xsi:type="dcterms:W3CDTF">2025-10-31T14:42:00Z</dcterms:created>
  <dcterms:modified xsi:type="dcterms:W3CDTF">2025-10-31T15:10:00Z</dcterms:modified>
</cp:coreProperties>
</file>