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sz w:val="30"/>
        </w:rPr>
        <w:t>Symbolic regression determines when coarse-grained models of signalling dynamics exist</w:t>
      </w:r>
    </w:p>
    <w:p>
      <w:r>
        <w:rPr>
          <w:b w:val="0"/>
          <w:i/>
          <w:color w:val="606060"/>
          <w:sz w:val="18"/>
        </w:rPr>
        <w:t>Hypothetical PNAS-format compression — 4,385 counted words. Every number is taken from the existing draft or the verified Config A analysis. [VALUE] marks a figure in the source I could not read. Not a submission draft: section headings and the abstract's synthetic clause need reconciling with the shortened synthetic section (see final page).</w:t>
      </w:r>
    </w:p>
    <w:p>
      <w:r>
        <w:rPr>
          <w:b w:val="0"/>
          <w:i/>
          <w:color w:val="606060"/>
          <w:sz w:val="18"/>
        </w:rPr>
        <w:t>Budget:  significance 128 · abstract 202 · introduction 582 · results 1,849 · discussion 658 · methods 326 · legends 638</w:t>
      </w:r>
    </w:p>
    <w:p>
      <w:pPr>
        <w:spacing w:before="320"/>
      </w:pPr>
      <w:r>
        <w:rPr>
          <w:b/>
          <w:i w:val="0"/>
          <w:sz w:val="26"/>
        </w:rPr>
        <w:t>Significance statement</w:t>
      </w:r>
    </w:p>
    <w:p>
      <w:pPr>
        <w:jc w:val="both"/>
      </w:pPr>
      <w:r>
        <w:rPr>
          <w:b w:val="0"/>
          <w:i w:val="0"/>
        </w:rPr>
        <w:t>Mathematical models of cell signalling must be simple enough to interpret yet faithful enough to predict. Which simplifications are legitimate is usually decided by assumption rather than measured. We show that symbolic regression, which searches for equations directly, can decide this from data. In synthetic enzyme systems it recovers the Michaelis-Menten law and degrades gracefully toward correct limiting forms as data quality falls. Applied to ERK signalling across 40 overexpression contexts, it recovers compact rate laws that extrapolate to doses never used for training, outperforming a linear model given every measured input. Success is predictable: where it fails, a flexible neural network needs substantially more interacting variables to fit the same data. Whether a system admits a compact description is therefore measurable.</w:t>
      </w:r>
    </w:p>
    <w:p>
      <w:pPr>
        <w:spacing w:before="320"/>
      </w:pPr>
      <w:r>
        <w:rPr>
          <w:b/>
          <w:i w:val="0"/>
          <w:sz w:val="26"/>
        </w:rPr>
        <w:t>Abstract</w:t>
      </w:r>
    </w:p>
    <w:p>
      <w:pPr>
        <w:jc w:val="both"/>
      </w:pPr>
      <w:r>
        <w:rPr>
          <w:b w:val="0"/>
          <w:i w:val="0"/>
        </w:rPr>
        <w:t xml:space="preserve">Cells respond to their environment through protein networks often dysregulated in cancer, making dynamical modelling crucial. Limitations in experimental data and computational resources motivate coarse-graining methods to build low-dimensional models, yet classical approaches rely on strong assumptions, leaving it unclear when partial experimental observations support reduced descriptions of system dynamics. Here we show that symbolic regression (SR) provides a data-driven framework to determine the existence of coarse-grained signalling models and, when they exist, to infer mechanistically interpretable dynamics. In synthetic enzyme systems, SR recovers Michaelis–Menten kinetics for two- and three-step catalysis and adapts its functional form as idealising assumptions are relaxed; as data quality degrades it simplifies toward kinetically correct limiting laws rather than failing. Applied to published time-resolved ERK phosphorylation data across 40 overexpression contexts, and evaluated by extrapolation to overexpression levels held out from training, SR identifies compact ERK rate laws using a median of four variables, and outperforms a linear model given all ten measured inputs. Success is not sporadic: where SR fails, a sparse neural ordinary differential equation requires substantially more effective first-order dependencies to fit the same data (5.20 versus 3.34; </w:t>
      </w:r>
      <w:r>
        <w:rPr>
          <w:b w:val="0"/>
          <w:i/>
        </w:rPr>
        <w:t>P</w:t>
      </w:r>
      <w:r>
        <w:rPr>
          <w:b w:val="0"/>
          <w:i w:val="0"/>
        </w:rPr>
        <w:t xml:space="preserve"> = 0.007), whether or not that network itself generalises. The number of variables the dynamics demand therefore predicts whether a closed-form description exists. Together these findings establish symbolic regression as a framework for identifying where coarse-grained models exist and for motivating new measurements where they do not.</w:t>
      </w:r>
    </w:p>
    <w:p>
      <w:pPr>
        <w:spacing w:before="320"/>
      </w:pPr>
      <w:r>
        <w:rPr>
          <w:b/>
          <w:i w:val="0"/>
          <w:sz w:val="26"/>
        </w:rPr>
        <w:t>Introduction</w:t>
      </w:r>
    </w:p>
    <w:p>
      <w:pPr>
        <w:jc w:val="both"/>
      </w:pPr>
      <w:r>
        <w:rPr>
          <w:b w:val="0"/>
          <w:i w:val="0"/>
        </w:rPr>
        <w:t>Dynamical models are central to understanding how signalling networks process information, and to predicting how they fail in disease. The difficulty is one of scale. A signalling pathway comprises hundreds of interacting species, of which experiments typically report a handful, and inference of a full mechanistic model from such data is neither identifiable nor computationally tractable. The standard response is coarse-graining: replacing a detailed mechanism with a reduced description that retains the behaviour of interest. Michaelis–Menten kinetics is the canonical example, compressing a multi-step enzymatic mechanism into a two-parameter saturating rate law.</w:t>
      </w:r>
    </w:p>
    <w:p>
      <w:pPr>
        <w:jc w:val="both"/>
      </w:pPr>
      <w:r>
        <w:rPr>
          <w:b w:val="0"/>
          <w:i w:val="0"/>
        </w:rPr>
        <w:t>Coarse-graining is normally justified by assumption rather than measurement. Timescale separation, conservation of molecular pools, and a particular choice of observable are asserted, and the reduced model follows. When those assumptions hold, the resulting description is both compact and mechanistically meaningful. When they do not — as in a signalling network under perturbation, where feedback is rewired and only a subset of species is measured — it is unclear whether any reduced description exists, and if one does, what form it takes. Existing model reduction methods largely presuppose a full mechanistic model to reduce, which is precisely what is unavailable.</w:t>
      </w:r>
    </w:p>
    <w:p>
      <w:pPr>
        <w:jc w:val="both"/>
      </w:pPr>
      <w:r>
        <w:rPr>
          <w:b w:val="0"/>
          <w:i w:val="0"/>
        </w:rPr>
        <w:t>An alternative is to ask the data. Symbolic regression searches over the space of mathematical expressions for one that predicts a target variable, returning an equation rather than a fitted black box. Recent implementations make this practical for systems of realistic size, and the returned expression is directly interpretable: the variables it contains are the dependencies the dynamics require, and its functional form is a mechanistic hypothesis. This suggests a use beyond curve-fitting. If symbolic regression recovers a compact law from partial observations, a coarse-grained description exists within those observations. If it does not, either the method has failed or no such description exists — and distinguishing these two cases is what makes the approach informative rather than merely descriptive.</w:t>
      </w:r>
    </w:p>
    <w:p>
      <w:pPr>
        <w:jc w:val="both"/>
      </w:pPr>
      <w:r>
        <w:rPr>
          <w:b w:val="0"/>
          <w:i w:val="0"/>
        </w:rPr>
        <w:t>Making that distinction requires a reference point. A sufficiently flexible model — a neural network embedded in a differential equation — can fit dynamics that admit no compact closed form. If such a model succeeds where symbolic regression fails, the limitation lies with the search over expressions. If it fails too, the observed variables are likely insufficient. A network that is additionally regularised to depend on few inputs offers more: the number of variables it needs becomes a measurable property of the dynamics, comparable to the number appearing in a symbolic expression.</w:t>
      </w:r>
    </w:p>
    <w:p>
      <w:pPr>
        <w:jc w:val="both"/>
      </w:pPr>
      <w:r>
        <w:rPr>
          <w:b w:val="0"/>
          <w:i w:val="0"/>
        </w:rPr>
        <w:t>Here we develop this framework and apply it in two settings. In synthetic enzyme systems, where the correct coarse-grained answer is known analytically, we establish that symbolic regression recovers it, and characterise how recovery degrades as mechanisms grow more complex, as assumptions are relaxed, and as data quality falls. This calibration matters because it tells us what failure looks like when we already know the answer.</w:t>
      </w:r>
    </w:p>
    <w:p>
      <w:pPr>
        <w:jc w:val="both"/>
      </w:pPr>
      <w:r>
        <w:rPr>
          <w:b w:val="0"/>
          <w:i w:val="0"/>
        </w:rPr>
        <w:t>We then apply the framework to time-resolved phospho-proteomic measurements of ERK signalling across 40 gene-overexpression contexts, a setting where the coarse-grained answer is unknown and the perturbation is precisely the kind that invalidates classical assumptions. Because the scientific question is whether an inferred law captures the mechanism rather than the sampled range, we evaluate every model by extrapolation: models are fitted at lower overexpression levels and scored at the highest levels, which are withheld. Under this criterion we ask three questions in turn — whether compact rate laws exist, whether their absence reflects the method or the data, and whether the laws that do exist are mechanistically informative.</w:t>
      </w:r>
    </w:p>
    <w:p>
      <w:pPr>
        <w:spacing w:before="320"/>
      </w:pPr>
      <w:r>
        <w:rPr>
          <w:b/>
          <w:i w:val="0"/>
          <w:sz w:val="26"/>
        </w:rPr>
        <w:t>Results</w:t>
      </w:r>
    </w:p>
    <w:p>
      <w:pPr>
        <w:spacing w:before="200"/>
      </w:pPr>
      <w:r>
        <w:rPr>
          <w:b/>
          <w:i/>
          <w:sz w:val="22"/>
        </w:rPr>
        <w:t>Symbolic regression recovers and extends classical enzyme kinetics</w:t>
      </w:r>
    </w:p>
    <w:p>
      <w:pPr>
        <w:jc w:val="both"/>
      </w:pPr>
      <w:r>
        <w:rPr>
          <w:b w:val="0"/>
          <w:i w:val="0"/>
        </w:rPr>
        <w:t>We first asked whether SR recovers an established coarse-grained law from data alone. We simulated a two-step enzyme mechanism — reversible substrate binding followed by irreversible catalysis (Fig. 1A) — which admits the Michaelis–Menten approximation under the quasi-steady-state assumption, and trained four SR implementations to predict the renormalised product formation rate from substrate, product, enzyme and kinetic parameters (Methods). PySR recovered the exact Michaelis–Menten equation and achieved the lowest median relative absolute error (MdRAE) of the four methods (Fig. 1B, Table 1), whereas AI-Feynman, DSO and KAN all exceeded 100,000% MdRAE. We attribute this gap chiefly to PySR's support for a log-space loss suited to targets spanning orders of magnitude; the alternatives required log-transforming the target and admitting a logarithm operator, which generates invalid candidate expressions whenever intermediate values become non-positive (SI Methods). We therefore used PySR throughout.</w:t>
      </w:r>
    </w:p>
    <w:p>
      <w:pPr>
        <w:jc w:val="both"/>
      </w:pPr>
      <w:r>
        <w:rPr>
          <w:b w:val="0"/>
          <w:i w:val="0"/>
        </w:rPr>
        <w:t>We next varied mechanistic complexity and the validity of the underlying assumptions (Fig. 2A–C). For a three-step mechanism adding reversible enzyme–product binding, PySR returned a Michaelis–Menten-like Hill function of coefficient 1, preserving the saturating substrate dependence while absorbing the extra step into renormalised constants (MdRAE 51.0%; Table 1). Relaxing the closed-system assumption improved rather than degraded recovery: in an open system with enzyme activation, inactivation and turnover, the same mechanism yielded a form closer to Michaelis–Menten (MdRAE 16.6%), and the two-step mechanism still returned the exact law (MdRAE 0.89%). A four-step mechanism requiring enzyme dimerisation was the exception, yielding a high-error, high-complexity expression in both closed and open settings (MdRAE 98.5%; complexity 21 versus 14 for Michaelis–Menten). Because no gold-standard reduction exists for this mechanism, we cannot separate SR failure from the absence of coarse-grained structure — but dimerisation introduces association-dependent activation and species that are not measured, and it is the one case here where a compact self-contained law does not emerge.</w:t>
      </w:r>
    </w:p>
    <w:p>
      <w:pPr>
        <w:spacing w:before="200"/>
      </w:pPr>
      <w:r>
        <w:rPr>
          <w:b/>
          <w:i/>
          <w:sz w:val="22"/>
        </w:rPr>
        <w:t>Recovery degrades toward correct limiting laws, not toward noise</w:t>
      </w:r>
    </w:p>
    <w:p>
      <w:pPr>
        <w:jc w:val="both"/>
      </w:pPr>
      <w:r>
        <w:rPr>
          <w:b w:val="0"/>
          <w:i w:val="0"/>
        </w:rPr>
        <w:t>Real measurements are noisy, limited and incomplete, so we next characterised how recovery behaves as data quality falls. Using the open three-step mechanism as a testbed — the largest departure from classical assumptions under which the exact law was still recovered — we degraded the data along three axes and compared SR against two reference points: a fixed Michaelis–Menten model and a multilayer perceptron (MLP) (Fig. 3A). Each condition used three SR seeds so that variation between regimes reflects the degradation rather than search stochasticity.</w:t>
      </w:r>
    </w:p>
    <w:p>
      <w:pPr>
        <w:jc w:val="both"/>
      </w:pPr>
      <w:r>
        <w:rPr>
          <w:b w:val="0"/>
          <w:i w:val="0"/>
        </w:rPr>
        <w:t>Numerical error scaled with degradation as expected; the informative behaviour was structural. Under additive Gaussian noise, SR recovered the exact Michaelis–Menten form at 1% of the data standard deviation across all three seeds, and returned Michaelis–Menten or near-identical variants at 10%, indicating that saturating substrate dependence remained identifiable. Only at 100% noise did SR collapse to a substrate-independent constant. Reducing training-set size gave an analogous progression: at 100% and 200% of the standard 2,400-sample set SR returned the exact law, while at 10% and 50% it preserved Michaelis–Menten-like structure with greater inter-seed variability (complexity 13–14), simplifying to a linear substrate dependence in one seed at the smallest size (Table S2). When we instead stratified the data by how far its ground-truth rates departed from Michaelis–Menten predictions, SR recovered the canonical form across the very low, low and high deviation regimes, contracting to coefficient-1 Hill (complexity 9) and linear (complexity 7) approximations only in the very high regime (Table S3). Notably, these contracted expressions matched Michaelis–Menten in MdRAE, so parsimony was gained without loss of predictive accuracy. Throughout, SR fell between its two reference points, matching the analytical model where the law held and remaining competitive with the MLP where it did not (Fig. 3A–B).</w:t>
      </w:r>
    </w:p>
    <w:p>
      <w:pPr>
        <w:jc w:val="both"/>
      </w:pPr>
      <w:r>
        <w:rPr>
          <w:b w:val="0"/>
          <w:i w:val="0"/>
        </w:rPr>
        <w:t>Two further manipulations tested whether SR tracks the kinetics rather than the label. Changing the measured observable from free to total substrate alters the correct reduction from the standard to the total quasi-steady-state form (tQSSA), a more algebraically complex expression. SR's predictive accuracy was comparable under both observables, but it never recovered the exact tQSSA formula, favouring lower-complexity approximations of equivalent accuracy (Tables S5–S7) — evidence that it prioritises parsimony over recovering a known but cumbersome derivation. Restricting the data to defined kinetic limits produced the expected asymptotic laws: linear dependence in the first-order regime and an approximately constant rate in the zero-order regime (Fig. 3C). Where the quasi-steady-state assumption itself was violated, SR abandoned the Hill form for linear kinetics (complexity 9–13; Table S4).</w:t>
      </w:r>
    </w:p>
    <w:p>
      <w:pPr>
        <w:jc w:val="both"/>
      </w:pPr>
      <w:r>
        <w:rPr>
          <w:b w:val="0"/>
          <w:i w:val="0"/>
        </w:rPr>
        <w:t>Across all conditions, SR identified the most appropriate law the data supported: it matched classical models while their assumptions remained informative, and moved to simpler, kinetically correct alternatives when they did not. This behaviour is what makes the experimental application interpretable — failure to recover a compact law is not a generic symptom of poor data, because poor data instead produces a simpler correct law.</w:t>
      </w:r>
    </w:p>
    <w:p>
      <w:pPr>
        <w:spacing w:before="200"/>
      </w:pPr>
      <w:r>
        <w:rPr>
          <w:b/>
          <w:i/>
          <w:sz w:val="22"/>
        </w:rPr>
        <w:t>Compact ERK rate laws extrapolate to unseen overexpression levels</w:t>
      </w:r>
    </w:p>
    <w:p>
      <w:pPr>
        <w:jc w:val="both"/>
      </w:pPr>
      <w:r>
        <w:rPr>
          <w:b w:val="0"/>
          <w:i w:val="0"/>
        </w:rPr>
        <w:t>We applied the framework to published time-resolved measurements of ERK phosphorylation across 40 gene-overexpression contexts, in which overexpression level is reported by a GFP reporter and p-ERK dynamics are measured alongside nine other phospho-signalling readouts (Fig. 4A–C). Because the question is whether an inferred law captures mechanism rather than the sampled dose range, all models were fitted on the lower 80% of GFP bins and scored on the withheld highest-intensity bins — an extrapolation to stronger perturbations than any seen in training. PySR hyperparameters were fixed once on a six-context development set by highest median R² on the training bins and applied unchanged throughout (Methods), so the withheld bins played no part in model selection.</w:t>
      </w:r>
    </w:p>
    <w:p>
      <w:pPr>
        <w:jc w:val="both"/>
      </w:pPr>
      <w:r>
        <w:rPr>
          <w:b w:val="0"/>
          <w:i w:val="0"/>
        </w:rPr>
        <w:t xml:space="preserve">We integrated each discovered rate law as an ordinary differential equation for p-ERK, treating the remaining readouts as time-dependent inputs, and scored the reconstructed trajectory (Methods). Using R² ≥ 0.6 as the criterion for satisfactory prediction — chosen because trajectories at this cutoff still reproduce the main qualitative features of the measured dynamics (Fig. S2) — PySR met the threshold for 8 of 32 overexpression contexts, with the corresponding laws using a median of four variables from a pool of ten (Fig. 4D). Against an ordinary least-squares linear model given all ten inputs and evaluated identically, PySR achieved the higher R² for 19 contexts and the linear model for 5, with 16 contexts fitted by neither (R² = 0 for both); among the 24 contexts where either method achieved a positive R², PySR was better for 79%, and 8 contexts passed threshold versus 3 (paired Wilcoxon signed-rank, </w:t>
      </w:r>
      <w:r>
        <w:rPr>
          <w:b w:val="0"/>
          <w:i/>
        </w:rPr>
        <w:t>n</w:t>
      </w:r>
      <w:r>
        <w:rPr>
          <w:b w:val="0"/>
          <w:i w:val="0"/>
        </w:rPr>
        <w:t xml:space="preserve"> = 32, </w:t>
      </w:r>
      <w:r>
        <w:rPr>
          <w:b w:val="0"/>
          <w:i/>
        </w:rPr>
        <w:t>P</w:t>
      </w:r>
      <w:r>
        <w:rPr>
          <w:b w:val="0"/>
          <w:i w:val="0"/>
        </w:rPr>
        <w:t xml:space="preserve"> = 0.035). The eight untransfected and GFP-only control contexts were the easiest of all (median R² 0.846, 7 of 8 above threshold), as expected: with no construct there is no dose response, so extrapolating to higher reporter levels amounts to predicting an unchanged trajectory. We therefore report control and perturbation contexts separately throughout.</w:t>
      </w:r>
    </w:p>
    <w:p>
      <w:pPr>
        <w:jc w:val="both"/>
      </w:pPr>
      <w:r>
        <w:rPr>
          <w:b w:val="0"/>
          <w:i w:val="0"/>
        </w:rPr>
        <w:t>Compact rate laws that survive dose extrapolation therefore exist for ERK dynamics, and they outperform a linear model given every measured input — so the contexts without one are not explained by limited fitting capacity. What distinguishes them is the question we take up next.</w:t>
      </w:r>
    </w:p>
    <w:p>
      <w:pPr>
        <w:spacing w:before="200"/>
      </w:pPr>
      <w:r>
        <w:rPr>
          <w:b/>
          <w:i/>
          <w:sz w:val="22"/>
        </w:rPr>
        <w:t>Where symbolic regression fails, the dynamics need more variables</w:t>
      </w:r>
    </w:p>
    <w:p>
      <w:pPr>
        <w:jc w:val="both"/>
      </w:pPr>
      <w:r>
        <w:rPr>
          <w:b w:val="0"/>
          <w:i w:val="0"/>
        </w:rPr>
        <w:t>To test whether these failures reflect the method or the data, we required a model flexible enough to fit dynamics with no compact closed form, and interpretable enough to compare against a symbolic expression. We trained a sparse neural ordinary differential equation (neural ODE): a small multilayer perceptron right-hand side integrated by an adaptive solver, with a group-sparsity penalty on its input Jacobian that encourages dependence on few inputs (Methods). The penalty makes the model report its own dependency structure: the participation ratio (PR) of the mean absolute Jacobian gives a continuous count of effective first-order dependencies, comparable to the number of variables in a symbolic expression, while the network retains the capacity to fit what SR cannot.</w:t>
      </w:r>
    </w:p>
    <w:p>
      <w:pPr>
        <w:jc w:val="both"/>
      </w:pPr>
      <w:r>
        <w:rPr>
          <w:b w:val="0"/>
          <w:i w:val="0"/>
        </w:rPr>
        <w:t xml:space="preserve">Across the 30 perturbation contexts with a trained network, the neural ODE reached R² &gt; 0.6 for 18 and PySR for 7 (Fig. 4E). The two methods succeeded together on 6 contexts, and on those PySR used roughly half the effective dependencies of the network (PR 1.86 versus 3.58; Wilcoxon signed-rank, </w:t>
      </w:r>
      <w:r>
        <w:rPr>
          <w:b w:val="0"/>
          <w:i/>
        </w:rPr>
        <w:t>n</w:t>
      </w:r>
      <w:r>
        <w:rPr>
          <w:b w:val="0"/>
          <w:i w:val="0"/>
        </w:rPr>
        <w:t xml:space="preserve"> = 6, </w:t>
      </w:r>
      <w:r>
        <w:rPr>
          <w:b w:val="0"/>
          <w:i/>
        </w:rPr>
        <w:t>P</w:t>
      </w:r>
      <w:r>
        <w:rPr>
          <w:b w:val="0"/>
          <w:i w:val="0"/>
        </w:rPr>
        <w:t xml:space="preserve"> = 0.063), indicating that where a closed form exists it is more compressed than the network's solution rather than merely equivalent to it.</w:t>
      </w:r>
    </w:p>
    <w:p>
      <w:pPr>
        <w:jc w:val="both"/>
      </w:pPr>
      <w:r>
        <w:rPr>
          <w:b w:val="0"/>
          <w:i w:val="0"/>
        </w:rPr>
        <w:t xml:space="preserve">The network's dependency count separated success from failure. It was low on contexts PySR solved (PR 3.34, </w:t>
      </w:r>
      <w:r>
        <w:rPr>
          <w:b w:val="0"/>
          <w:i/>
        </w:rPr>
        <w:t>n</w:t>
      </w:r>
      <w:r>
        <w:rPr>
          <w:b w:val="0"/>
          <w:i w:val="0"/>
        </w:rPr>
        <w:t xml:space="preserve"> = 7) and substantially higher on those it did not (PR 5.20, </w:t>
      </w:r>
      <w:r>
        <w:rPr>
          <w:b w:val="0"/>
          <w:i/>
        </w:rPr>
        <w:t>n</w:t>
      </w:r>
      <w:r>
        <w:rPr>
          <w:b w:val="0"/>
          <w:i w:val="0"/>
        </w:rPr>
        <w:t xml:space="preserve"> = 23; Mann–Whitney </w:t>
      </w:r>
      <w:r>
        <w:rPr>
          <w:b w:val="0"/>
          <w:i/>
        </w:rPr>
        <w:t>U</w:t>
      </w:r>
      <w:r>
        <w:rPr>
          <w:b w:val="0"/>
          <w:i w:val="0"/>
        </w:rPr>
        <w:t xml:space="preserve">, </w:t>
      </w:r>
      <w:r>
        <w:rPr>
          <w:b w:val="0"/>
          <w:i/>
        </w:rPr>
        <w:t>P</w:t>
      </w:r>
      <w:r>
        <w:rPr>
          <w:b w:val="0"/>
          <w:i w:val="0"/>
        </w:rPr>
        <w:t xml:space="preserve"> = 0.0071; Fig. 4F). Critically, this did not depend on whether the network itself generalised: the 12 contexts where the network succeeded alone (PR 5.22) and the 11 where both methods failed (PR 4.79) were indistinguishable (</w:t>
      </w:r>
      <w:r>
        <w:rPr>
          <w:b w:val="0"/>
          <w:i/>
        </w:rPr>
        <w:t>P</w:t>
      </w:r>
      <w:r>
        <w:rPr>
          <w:b w:val="0"/>
          <w:i w:val="0"/>
        </w:rPr>
        <w:t xml:space="preserve"> = 1.0). Symbolic-regression failure therefore marks dynamics requiring more interacting variables than a compact expression can carry, rather than dynamics that are simply harder to fit. Of the 11 joint failures, only 3 had a network that also failed on its training doses; for the remaining 8 the measured variables were sufficient in-distribution and the failure was one of extrapolation, so we do not interpret joint failure as evidence of missing observables except in those 3 cases.</w:t>
      </w:r>
    </w:p>
    <w:p>
      <w:pPr>
        <w:jc w:val="both"/>
      </w:pPr>
      <w:r>
        <w:rPr>
          <w:b w:val="0"/>
          <w:i w:val="0"/>
        </w:rPr>
        <w:t xml:space="preserve">This relationship was robust to how sparsity was imposed: L21, L1 and path-regularised penalties gave statistically indistinguishable held-out accuracy (median R² 0.617, 0.629 and 0.610; </w:t>
      </w:r>
      <w:r>
        <w:rPr>
          <w:b w:val="0"/>
          <w:i/>
        </w:rPr>
        <w:t>P</w:t>
      </w:r>
      <w:r>
        <w:rPr>
          <w:b w:val="0"/>
          <w:i w:val="0"/>
        </w:rPr>
        <w:t xml:space="preserve"> = 0.19 and 0.29 against L21; Fig. S3A), so the dependency counts are not an artefact of a particular penalty.</w:t>
      </w:r>
    </w:p>
    <w:p>
      <w:pPr>
        <w:spacing w:before="200"/>
      </w:pPr>
      <w:r>
        <w:rPr>
          <w:b/>
          <w:i/>
          <w:sz w:val="22"/>
        </w:rPr>
        <w:t>Recovered laws yield mechanistic hypotheses</w:t>
      </w:r>
    </w:p>
    <w:p>
      <w:pPr>
        <w:jc w:val="both"/>
      </w:pPr>
      <w:r>
        <w:rPr>
          <w:b w:val="0"/>
          <w:i w:val="0"/>
        </w:rPr>
        <w:t>Finally we asked whether the predictive laws are mechanistically informative. We examined the two contexts meeting the R² ≥ 0.6 criterion on both training and withheld doses, ranked by withheld R²: PIKfyve (PIP5K3) and PTPN7 (Fig. 5A–B). Both reproduce the measured p-ERK trajectory fan across reporter levels, including peak timing and decay.</w:t>
      </w:r>
    </w:p>
    <w:p>
      <w:pPr>
        <w:jc w:val="both"/>
      </w:pPr>
      <w:r>
        <w:rPr>
          <w:b w:val="0"/>
          <w:i w:val="0"/>
        </w:rPr>
        <w:t>For PIKfyve (withheld R² = 0.942), SR recovered</w:t>
      </w:r>
    </w:p>
    <w:p>
      <w:pPr>
        <w:jc w:val="center"/>
      </w:pPr>
      <w:r>
        <w:rPr>
          <w:rFonts w:ascii="Consolas" w:hAnsi="Consolas"/>
          <w:b w:val="0"/>
          <w:i w:val="0"/>
          <w:sz w:val="20"/>
        </w:rPr>
        <w:t>d(p-ERK)/dt = 0.0175·GFP − 1.070 + 2.348·(p-MEK − p-MAPKAPK2 + 1.272)/p-ERK.</w:t>
      </w:r>
    </w:p>
    <w:p>
      <w:pPr>
        <w:jc w:val="both"/>
      </w:pPr>
      <w:r>
        <w:rPr>
          <w:b w:val="0"/>
          <w:i w:val="0"/>
        </w:rPr>
        <w:t>The overexpression level enters with a positive coefficient, so increasing PIKfyve raises the phosphorylation rate. The remaining term divides a p-MEK-versus-p-MAPKAPK2 balance by p-ERK itself, so ERK limits its own rate hyperbolically rather than linearly, and MAPKAPK2 opposes the MEK drive. A positive coupling is consistent with PIKfyve's role in endosomal trafficking of receptor tyrosine kinases, which sustains upstream input to the cascade.</w:t>
      </w:r>
    </w:p>
    <w:p>
      <w:pPr>
        <w:jc w:val="both"/>
      </w:pPr>
      <w:r>
        <w:rPr>
          <w:b w:val="0"/>
          <w:i w:val="0"/>
        </w:rPr>
        <w:t>For PTPN7 (withheld R² = 0.935), SR recovered</w:t>
      </w:r>
    </w:p>
    <w:p>
      <w:pPr>
        <w:jc w:val="center"/>
      </w:pPr>
      <w:r>
        <w:rPr>
          <w:rFonts w:ascii="Consolas" w:hAnsi="Consolas"/>
          <w:b w:val="0"/>
          <w:i w:val="0"/>
          <w:sz w:val="20"/>
        </w:rPr>
        <w:t>d(p-ERK)/dt = [p-MEK − p-ERK − p-ERK·(p-MEK·(0.1206·GFP − 0.7528) + 1.789)] / 2.574,</w:t>
      </w:r>
    </w:p>
    <w:p>
      <w:pPr>
        <w:jc w:val="both"/>
      </w:pPr>
      <w:r>
        <w:rPr>
          <w:b w:val="0"/>
          <w:i w:val="0"/>
        </w:rPr>
        <w:t>the only law here requiring no exogenous driver beyond p-MEK: the rate is a p-MEK drive against p-ERK-dependent removal. The overexpression level appears only inside the p-ERK·p-MEK product, and the bracket changes sign near GFP ≈ 6.2, so increasing PTPN7 converts the MEK-dependent term from opposing to reinforcing ERK dephosphorylation. This is consistent with PTPN7 (HePTP) acting as an ERK-directed phosphatase whose effect strengthens with abundance, and it is a concrete, testable prediction: the sign change should be observable as a reversal in the dose response.</w:t>
      </w:r>
    </w:p>
    <w:p>
      <w:pPr>
        <w:jc w:val="both"/>
      </w:pPr>
      <w:r>
        <w:rPr>
          <w:b w:val="0"/>
          <w:i w:val="0"/>
        </w:rPr>
        <w:t>Both laws recover a p-ERK self-limiting term without it being imposed, as required for stable dynamics, and explain context-specific behaviour using two or three measured readouts.</w:t>
      </w:r>
    </w:p>
    <w:p>
      <w:pPr>
        <w:spacing w:before="320"/>
      </w:pPr>
      <w:r>
        <w:rPr>
          <w:b/>
          <w:i w:val="0"/>
          <w:sz w:val="26"/>
        </w:rPr>
        <w:t>Discussion</w:t>
      </w:r>
    </w:p>
    <w:p>
      <w:pPr>
        <w:jc w:val="both"/>
      </w:pPr>
      <w:r>
        <w:rPr>
          <w:b w:val="0"/>
          <w:i w:val="0"/>
        </w:rPr>
        <w:t>We set out to ask when partial observations of a signalling network support a reduced dynamical description, and to answer it by measurement rather than assumption. Symbolic regression provides the instrument, because the equation it returns exposes both the variables the dynamics require and the functional form of their dependence.</w:t>
      </w:r>
    </w:p>
    <w:p>
      <w:pPr>
        <w:jc w:val="both"/>
      </w:pPr>
      <w:r>
        <w:rPr>
          <w:b w:val="0"/>
          <w:i w:val="0"/>
        </w:rPr>
        <w:t>The synthetic calibration establishes what the instrument does when the answer is known. SR recovered Michaelis–Menten from two-step catalysis, and continued to recover it — or a principled variant — as reaction steps were added and as idealising assumptions were relaxed. Recovery improved in the open system, indicating that Michaelis–Menten behaves as a robust emergent description rather than a narrow special case, consistent with recent work on the universality of Hill-type input–output laws. Most usefully, degradation was graceful and interpretable: as noise rose, data thinned, or the sampled regime departed from the canonical form, SR contracted to simpler laws that remained kinetically correct and predictively equivalent, rather than returning noise. Failure to find a compact law is therefore not a generic consequence of poor data. The one genuine failure was enzyme dimerisation, which introduces association-dependent activation and unmeasured species — the situation in which we would expect no self-contained law to exist within the observables.</w:t>
      </w:r>
    </w:p>
    <w:p>
      <w:pPr>
        <w:jc w:val="both"/>
      </w:pPr>
      <w:r>
        <w:rPr>
          <w:b w:val="0"/>
          <w:i w:val="0"/>
        </w:rPr>
        <w:t xml:space="preserve">Applied to ERK signalling under dose extrapolation, compact laws were recovered for some contexts and not others. Read alone, that pattern is ambiguous between an inadequate method and dynamics that cannot be compressed. The sparse neural ODE resolves the ambiguity. Where SR succeeded, the network fitted the same data using few effective dependencies, and where SR failed it required substantially more (PR 3.34 versus 5.20; </w:t>
      </w:r>
      <w:r>
        <w:rPr>
          <w:b w:val="0"/>
          <w:i/>
        </w:rPr>
        <w:t>P</w:t>
      </w:r>
      <w:r>
        <w:rPr>
          <w:b w:val="0"/>
          <w:i w:val="0"/>
        </w:rPr>
        <w:t xml:space="preserve"> = 0.0071) — regardless of whether the network itself generalised. The limitation is thus the number of interacting variables the dynamics demand, not the search over expressions. That where both methods succeeded SR used roughly half the network's dependencies strengthens the point: a closed form, when it exists, is a genuine compression rather than a restatement.</w:t>
      </w:r>
    </w:p>
    <w:p>
      <w:pPr>
        <w:jc w:val="both"/>
      </w:pPr>
      <w:r>
        <w:rPr>
          <w:b w:val="0"/>
          <w:i w:val="0"/>
        </w:rPr>
        <w:t>This reading has a practical corollary. A dependency count is measurable before any symbolic search succeeds, so it can be used prospectively: a context whose sparse network needs five or six effective inputs is unlikely to yield a compact rate law from the current observables, and is better addressed by measuring more species than by searching harder. Conversely, contexts with low dependency counts are candidates for closed-form description. The framework therefore generates hypotheses where models emerge and prioritises measurements where they do not.</w:t>
      </w:r>
    </w:p>
    <w:p>
      <w:pPr>
        <w:jc w:val="both"/>
      </w:pPr>
      <w:r>
        <w:rPr>
          <w:b w:val="0"/>
          <w:i w:val="0"/>
        </w:rPr>
        <w:t>Parsimony also buys interpretive precision, which the comparisons make concrete. The linear reference model uses all ten measured inputs and is predictive, but not mechanistic: every readout enters with a fitted coefficient, and the model cannot indicate which dependencies the dynamics require. The recovered laws use two to four variables and specify how they act — hyperbolic self-limitation for PIKfyve, a sign-changing MEK-dependent term for PTPN7. These are hypotheses specific enough to be tested and to be wrong, which a coefficient vector is not.</w:t>
      </w:r>
    </w:p>
    <w:p>
      <w:pPr>
        <w:jc w:val="both"/>
      </w:pPr>
      <w:r>
        <w:rPr>
          <w:b w:val="0"/>
          <w:i w:val="0"/>
        </w:rPr>
        <w:t>Several limitations bound these conclusions. Compact laws were recovered for 8 of 32 contexts, of which two were reproducible across all seeds, so the exemplars illustrate the framework rather than survey ERK biology. Dependency counts are derived from a regularised network at a fixed penalty strength; although insensitive to the penalty's form, they are properties of a fitted model rather than direct measurements. The inferred terms are effective dynamical dependencies, not molecular interactions: a variable appearing in a rate law need not act directly on ERK. Finally, PySR and the network were trained on the same withheld-bin split but different training fractions, which favours PySR on extrapolation accuracy; the dependency-count comparison, which carries our main claim, is unaffected.</w:t>
      </w:r>
    </w:p>
    <w:p>
      <w:pPr>
        <w:jc w:val="both"/>
      </w:pPr>
      <w:r>
        <w:rPr>
          <w:b w:val="0"/>
          <w:i w:val="0"/>
        </w:rPr>
        <w:t>The broader implication is that compressibility is an empirical property of a system and its observables, and can be measured. Where a coarse-grained model exists, symbolic regression finds it and states it in interpretable form; where none exists, the failure is itself the informative result.</w:t>
      </w:r>
    </w:p>
    <w:p>
      <w:pPr>
        <w:spacing w:before="320"/>
      </w:pPr>
      <w:r>
        <w:rPr>
          <w:b/>
          <w:i w:val="0"/>
          <w:sz w:val="26"/>
        </w:rPr>
        <w:t>Materials and Methods</w:t>
      </w:r>
    </w:p>
    <w:p>
      <w:pPr>
        <w:jc w:val="both"/>
      </w:pPr>
      <w:r>
        <w:rPr>
          <w:b/>
          <w:i w:val="0"/>
        </w:rPr>
        <w:t>Synthetic enzyme systems.</w:t>
      </w:r>
      <w:r>
        <w:rPr>
          <w:b w:val="0"/>
          <w:i w:val="0"/>
        </w:rPr>
        <w:t xml:space="preserve"> Mass-action ODE models of two-, three- and four-step catalysis were simulated in closed and open forms, the three-step model adding reversible enzyme–product binding and the four-step model enzyme dimerisation. Rate constants and initial conditions were sampled log-uniformly, trajectories integrated to steady state, and observables recorded under the standard or total quasi-steady-state lens. Accuracy is the median relative absolute error (MdRAE), chosen for robustness to outliers. Degradation experiments used the open three-step model with 2,400 training samples and three seeds per condition: Gaussian noise at 1%, 10% and 100% of the data standard deviation; training sizes at 10%, 50%, 100% and 200%; and stratification by departure from Michaelis–Menten predictions (&lt;1%, 1–10%, 10–100%, &gt;100%). Reference models were a fixed Michaelis–Menten law and an MLP (SI Methods).</w:t>
      </w:r>
    </w:p>
    <w:p>
      <w:pPr>
        <w:jc w:val="both"/>
      </w:pPr>
      <w:r>
        <w:rPr>
          <w:b/>
          <w:i w:val="0"/>
        </w:rPr>
        <w:t>Experimental data.</w:t>
      </w:r>
      <w:r>
        <w:rPr>
          <w:b w:val="0"/>
          <w:i w:val="0"/>
        </w:rPr>
        <w:t xml:space="preserve"> Published time-resolved phospho-proteomic measurements of ERK signalling across 40 gene-overexpression contexts were used. Per context, GFP was discretised into quantile bins, p-ERK trajectories fitted with a parametric rise-and-fall model, and its analytic derivative taken as the regression target (SI Methods).</w:t>
      </w:r>
    </w:p>
    <w:p>
      <w:pPr>
        <w:jc w:val="both"/>
      </w:pPr>
      <w:r>
        <w:rPr>
          <w:b/>
          <w:i w:val="0"/>
        </w:rPr>
        <w:t>Out-of-distribution split.</w:t>
      </w:r>
      <w:r>
        <w:rPr>
          <w:b w:val="0"/>
          <w:i w:val="0"/>
        </w:rPr>
        <w:t xml:space="preserve"> Per context the highest-intensity GFP bins (top 20%) were withheld and the remainder used for training. The partition is deterministic, so seeds vary only search initialisation.</w:t>
      </w:r>
    </w:p>
    <w:p>
      <w:pPr>
        <w:jc w:val="both"/>
      </w:pPr>
      <w:r>
        <w:rPr>
          <w:b/>
          <w:i w:val="0"/>
        </w:rPr>
        <w:t>Symbolic regression.</w:t>
      </w:r>
      <w:r>
        <w:rPr>
          <w:b w:val="0"/>
          <w:i w:val="0"/>
        </w:rPr>
        <w:t xml:space="preserve"> PySR with binary operators {+, −, ×, ÷}, no unary operators, and a log-space loss with penalties enforcing dynamical stability. Configuration was selected from 72 candidates on a six-context development set by highest median training-bin R² (1400 iterations, 30 populations, population size 30, maximum complexity 26, parsimony 0.8) and applied unchanged (SI Methods).</w:t>
      </w:r>
    </w:p>
    <w:p>
      <w:pPr>
        <w:jc w:val="both"/>
      </w:pPr>
      <w:r>
        <w:rPr>
          <w:b/>
          <w:i w:val="0"/>
        </w:rPr>
        <w:t>Baselines and metrics.</w:t>
      </w:r>
      <w:r>
        <w:rPr>
          <w:b w:val="0"/>
          <w:i w:val="0"/>
        </w:rPr>
        <w:t xml:space="preserve"> Ordinary least-squares linear regression on all ten inputs; and a sparse neural ODE (4×64 tanh MLP, Dopri5 solver, L21 Jacobian penalty λ = 3.0). Performance is the R² of the ODE-integrated p-ERK trajectory at measured timepoints, averaged with equal weight per GFP bin and reported as the best of three seeds. Effective first-order dependencies are the participation ratio of the mean absolute Jacobian, excluding GFP.</w:t>
      </w:r>
    </w:p>
    <w:p>
      <w:pPr>
        <w:spacing w:before="320"/>
      </w:pPr>
      <w:r>
        <w:rPr>
          <w:b/>
          <w:i w:val="0"/>
          <w:sz w:val="26"/>
        </w:rPr>
        <w:t>Figure legends</w:t>
      </w:r>
    </w:p>
    <w:p>
      <w:pPr>
        <w:jc w:val="both"/>
      </w:pPr>
      <w:r>
        <w:rPr>
          <w:b/>
          <w:i w:val="0"/>
        </w:rPr>
        <w:t>Fig. 1. Benchmarking symbolic regression on Michaelis–Menten recovery.</w:t>
      </w:r>
      <w:r>
        <w:rPr>
          <w:b w:val="0"/>
          <w:i w:val="0"/>
        </w:rPr>
        <w:t xml:space="preserve"> (</w:t>
      </w:r>
      <w:r>
        <w:rPr>
          <w:b w:val="0"/>
          <w:i/>
        </w:rPr>
        <w:t>A</w:t>
      </w:r>
      <w:r>
        <w:rPr>
          <w:b w:val="0"/>
          <w:i w:val="0"/>
        </w:rPr>
        <w:t xml:space="preserve">) Two-step enzyme mechanism: reversible substrate binding followed by irreversible catalysis, which admits the Michaelis–Menten reduction under the quasi-steady-state assumption. Symbols denote free substrate </w:t>
      </w:r>
      <w:r>
        <w:rPr>
          <w:b w:val="0"/>
          <w:i/>
        </w:rPr>
        <w:t>S</w:t>
      </w:r>
      <w:r>
        <w:rPr>
          <w:b w:val="0"/>
          <w:i w:val="0"/>
        </w:rPr>
        <w:t xml:space="preserve">, product </w:t>
      </w:r>
      <w:r>
        <w:rPr>
          <w:b w:val="0"/>
          <w:i/>
        </w:rPr>
        <w:t>P</w:t>
      </w:r>
      <w:r>
        <w:rPr>
          <w:b w:val="0"/>
          <w:i w:val="0"/>
        </w:rPr>
        <w:t xml:space="preserve">, total enzyme </w:t>
      </w:r>
      <w:r>
        <w:rPr>
          <w:b w:val="0"/>
          <w:i/>
        </w:rPr>
        <w:t>E</w:t>
      </w:r>
      <w:r>
        <w:rPr>
          <w:b w:val="0"/>
          <w:i w:val="0"/>
        </w:rPr>
        <w:t>, and the kinetic parameters supplied as model inputs. (</w:t>
      </w:r>
      <w:r>
        <w:rPr>
          <w:b w:val="0"/>
          <w:i/>
        </w:rPr>
        <w:t>B</w:t>
      </w:r>
      <w:r>
        <w:rPr>
          <w:b w:val="0"/>
          <w:i w:val="0"/>
        </w:rPr>
        <w:t xml:space="preserve">) Median relative absolute error (MdRAE) for four symbolic-regression implementations on the renormalised product formation rate, </w:t>
      </w:r>
      <w:r>
        <w:rPr>
          <w:b w:val="0"/>
          <w:i/>
        </w:rPr>
        <w:t>N</w:t>
      </w:r>
      <w:r>
        <w:rPr>
          <w:b w:val="0"/>
          <w:i w:val="0"/>
        </w:rPr>
        <w:t xml:space="preserve"> = [VALUE] parameter draws; points are individual runs and bars the median across three seeds. PySR recovers the exact Michaelis–Menten equation; AI-Feynman, DSO and KAN exceed 100,000% MdRAE. Recovered expressions are listed in Table 1.</w:t>
      </w:r>
    </w:p>
    <w:p>
      <w:pPr>
        <w:jc w:val="both"/>
      </w:pPr>
      <w:r>
        <w:rPr>
          <w:b/>
          <w:i w:val="0"/>
        </w:rPr>
        <w:t>Fig. 2. Recovery across mechanistic complexity and assumption violation.</w:t>
      </w:r>
      <w:r>
        <w:rPr>
          <w:b w:val="0"/>
          <w:i w:val="0"/>
        </w:rPr>
        <w:t xml:space="preserve"> (</w:t>
      </w:r>
      <w:r>
        <w:rPr>
          <w:b w:val="0"/>
          <w:i/>
        </w:rPr>
        <w:t>A</w:t>
      </w:r>
      <w:r>
        <w:rPr>
          <w:b w:val="0"/>
          <w:i w:val="0"/>
        </w:rPr>
        <w:t>) Reaction schemes for the two-, three- and four-step mechanisms; the four-step mechanism requires enzyme dimerisation. (</w:t>
      </w:r>
      <w:r>
        <w:rPr>
          <w:b w:val="0"/>
          <w:i/>
        </w:rPr>
        <w:t>B</w:t>
      </w:r>
      <w:r>
        <w:rPr>
          <w:b w:val="0"/>
          <w:i w:val="0"/>
        </w:rPr>
        <w:t>) Closed-system formulation, in which enzyme and substrate pools are conserved. (</w:t>
      </w:r>
      <w:r>
        <w:rPr>
          <w:b w:val="0"/>
          <w:i/>
        </w:rPr>
        <w:t>C</w:t>
      </w:r>
      <w:r>
        <w:rPr>
          <w:b w:val="0"/>
          <w:i w:val="0"/>
        </w:rPr>
        <w:t>) Open-system formulation adding enzyme activation and inactivation and coupled substrate and product turnover, violating pool conservation and timescale separation. (</w:t>
      </w:r>
      <w:r>
        <w:rPr>
          <w:b w:val="0"/>
          <w:i/>
        </w:rPr>
        <w:t>D</w:t>
      </w:r>
      <w:r>
        <w:rPr>
          <w:b w:val="0"/>
          <w:i w:val="0"/>
        </w:rPr>
        <w:t>) MdRAE and expression complexity for each mechanism and environment, three seeds per condition; bars show the median. PySR recovers the exact Michaelis–Menten law for the two-step mechanism in both environments, a coefficient-1 Hill variant for the three-step mechanism, and no compact law for the four-step mechanism. Complexity is the PySR node count (SI Methods).</w:t>
      </w:r>
    </w:p>
    <w:p>
      <w:pPr>
        <w:jc w:val="both"/>
      </w:pPr>
      <w:r>
        <w:rPr>
          <w:b/>
          <w:i w:val="0"/>
        </w:rPr>
        <w:t>Fig. 3. Behaviour under data degradation.</w:t>
      </w:r>
      <w:r>
        <w:rPr>
          <w:b w:val="0"/>
          <w:i w:val="0"/>
        </w:rPr>
        <w:t xml:space="preserve"> (</w:t>
      </w:r>
      <w:r>
        <w:rPr>
          <w:b w:val="0"/>
          <w:i/>
        </w:rPr>
        <w:t>A</w:t>
      </w:r>
      <w:r>
        <w:rPr>
          <w:b w:val="0"/>
          <w:i w:val="0"/>
        </w:rPr>
        <w:t>) MdRAE (upper row) and recovered expression complexity (lower row) across additive Gaussian noise (1–100% of the data standard deviation), training-set size (10–200% of 2,400 samples), and stratification by departure from Michaelis–Menten predictions. Points are individual seeds (</w:t>
      </w:r>
      <w:r>
        <w:rPr>
          <w:b w:val="0"/>
          <w:i/>
        </w:rPr>
        <w:t>n</w:t>
      </w:r>
      <w:r>
        <w:rPr>
          <w:b w:val="0"/>
          <w:i w:val="0"/>
        </w:rPr>
        <w:t xml:space="preserve"> = 3 per regime); horizontal lines are medians. Grey and coloured references are the fixed Michaelis–Menten model and the multilayer perceptron. (</w:t>
      </w:r>
      <w:r>
        <w:rPr>
          <w:b w:val="0"/>
          <w:i/>
        </w:rPr>
        <w:t>B</w:t>
      </w:r>
      <w:r>
        <w:rPr>
          <w:b w:val="0"/>
          <w:i w:val="0"/>
        </w:rPr>
        <w:t>) The same degradations under the total-substrate observable, for which the correct reduction is the total quasi-steady-state (tQSSA) form. (</w:t>
      </w:r>
      <w:r>
        <w:rPr>
          <w:b w:val="0"/>
          <w:i/>
        </w:rPr>
        <w:t>C</w:t>
      </w:r>
      <w:r>
        <w:rPr>
          <w:b w:val="0"/>
          <w:i w:val="0"/>
        </w:rPr>
        <w:t>) Recovered expressions within defined kinetic limits, given as enzyme-to-substrate and substrate-to-Michaelis-constant ratios. Per-condition expressions are listed in Tables S1–S7.</w:t>
      </w:r>
    </w:p>
    <w:p>
      <w:pPr>
        <w:jc w:val="both"/>
      </w:pPr>
      <w:r>
        <w:rPr>
          <w:b/>
          <w:i w:val="0"/>
        </w:rPr>
        <w:t>Fig. 4. Symbolic regression on experimental ERK dynamics under dose extrapolation.</w:t>
      </w:r>
      <w:r>
        <w:rPr>
          <w:b w:val="0"/>
          <w:i w:val="0"/>
        </w:rPr>
        <w:t xml:space="preserve"> (</w:t>
      </w:r>
      <w:r>
        <w:rPr>
          <w:b w:val="0"/>
          <w:i/>
        </w:rPr>
        <w:t>A</w:t>
      </w:r>
      <w:r>
        <w:rPr>
          <w:b w:val="0"/>
          <w:i w:val="0"/>
        </w:rPr>
        <w:t>) Experimental design: 40 gene-overexpression contexts with p-ERK and nine further phospho-readouts measured at six timepoints, overexpression level reported by GFP intensity. (</w:t>
      </w:r>
      <w:r>
        <w:rPr>
          <w:b w:val="0"/>
          <w:i/>
        </w:rPr>
        <w:t>B</w:t>
      </w:r>
      <w:r>
        <w:rPr>
          <w:b w:val="0"/>
          <w:i w:val="0"/>
        </w:rPr>
        <w:t>) Parametric rise-and-fall fits to p-ERK trajectories per GFP bin; the analytic derivative is the regression target. (</w:t>
      </w:r>
      <w:r>
        <w:rPr>
          <w:b w:val="0"/>
          <w:i/>
        </w:rPr>
        <w:t>C</w:t>
      </w:r>
      <w:r>
        <w:rPr>
          <w:b w:val="0"/>
          <w:i w:val="0"/>
        </w:rPr>
        <w:t>) Out-of-distribution split: the highest 20% of GFP bins are withheld, so models are scored by extrapolation to stronger perturbations than seen in training. (</w:t>
      </w:r>
      <w:r>
        <w:rPr>
          <w:b w:val="0"/>
          <w:i/>
        </w:rPr>
        <w:t>D</w:t>
      </w:r>
      <w:r>
        <w:rPr>
          <w:b w:val="0"/>
          <w:i w:val="0"/>
        </w:rPr>
        <w:t>) Withheld-bin R² of the ODE-integrated p-ERK trajectory for symbolic regression against an ordinary least-squares linear model given all ten inputs; each point is one context (</w:t>
      </w:r>
      <w:r>
        <w:rPr>
          <w:b w:val="0"/>
          <w:i/>
        </w:rPr>
        <w:t>N</w:t>
      </w:r>
      <w:r>
        <w:rPr>
          <w:b w:val="0"/>
          <w:i w:val="0"/>
        </w:rPr>
        <w:t xml:space="preserve"> = 40, including 8 controls); shading marks the half-plane where symbolic regression wins. Best of three seeds per method. (</w:t>
      </w:r>
      <w:r>
        <w:rPr>
          <w:b w:val="0"/>
          <w:i/>
        </w:rPr>
        <w:t>E</w:t>
      </w:r>
      <w:r>
        <w:rPr>
          <w:b w:val="0"/>
          <w:i w:val="0"/>
        </w:rPr>
        <w:t>) The same comparison against the sparse neural ODE for the 30 perturbation contexts with a trained network; dashed lines mark R² = 0.6. (</w:t>
      </w:r>
      <w:r>
        <w:rPr>
          <w:b w:val="0"/>
          <w:i/>
        </w:rPr>
        <w:t>F</w:t>
      </w:r>
      <w:r>
        <w:rPr>
          <w:b w:val="0"/>
          <w:i w:val="0"/>
        </w:rPr>
        <w:t>) Effective first-order dependency count (participation ratio of the mean absolute input Jacobian, excluding GFP) on the contexts each method fits (R² &gt; 0.6). Boxes show median and interquartile range, whiskers the range; points are individual contexts. Symbolic regression uses fewer dependencies than the network where both succeed (</w:t>
      </w:r>
      <w:r>
        <w:rPr>
          <w:b w:val="0"/>
          <w:i/>
        </w:rPr>
        <w:t>n</w:t>
      </w:r>
      <w:r>
        <w:rPr>
          <w:b w:val="0"/>
          <w:i w:val="0"/>
        </w:rPr>
        <w:t xml:space="preserve"> = 6, Wilcoxon signed-rank </w:t>
      </w:r>
      <w:r>
        <w:rPr>
          <w:b w:val="0"/>
          <w:i/>
        </w:rPr>
        <w:t>P</w:t>
      </w:r>
      <w:r>
        <w:rPr>
          <w:b w:val="0"/>
          <w:i w:val="0"/>
        </w:rPr>
        <w:t xml:space="preserve"> = 0.063), and the network's count is higher on contexts symbolic regression fails (</w:t>
      </w:r>
      <w:r>
        <w:rPr>
          <w:b w:val="0"/>
          <w:i/>
        </w:rPr>
        <w:t>n</w:t>
      </w:r>
      <w:r>
        <w:rPr>
          <w:b w:val="0"/>
          <w:i w:val="0"/>
        </w:rPr>
        <w:t xml:space="preserve"> = 7 versus 23, Mann–Whitney </w:t>
      </w:r>
      <w:r>
        <w:rPr>
          <w:b w:val="0"/>
          <w:i/>
        </w:rPr>
        <w:t>U</w:t>
      </w:r>
      <w:r>
        <w:rPr>
          <w:b w:val="0"/>
          <w:i w:val="0"/>
        </w:rPr>
        <w:t xml:space="preserve"> </w:t>
      </w:r>
      <w:r>
        <w:rPr>
          <w:b w:val="0"/>
          <w:i/>
        </w:rPr>
        <w:t>P</w:t>
      </w:r>
      <w:r>
        <w:rPr>
          <w:b w:val="0"/>
          <w:i w:val="0"/>
        </w:rPr>
        <w:t xml:space="preserve"> = 0.0071).</w:t>
      </w:r>
    </w:p>
    <w:p>
      <w:pPr>
        <w:jc w:val="both"/>
      </w:pPr>
      <w:r>
        <w:rPr>
          <w:b/>
          <w:i w:val="0"/>
        </w:rPr>
        <w:t>Fig. 5. Recovered rate laws for two overexpression contexts.</w:t>
      </w:r>
      <w:r>
        <w:rPr>
          <w:b w:val="0"/>
          <w:i w:val="0"/>
        </w:rPr>
        <w:t xml:space="preserve"> (</w:t>
      </w:r>
      <w:r>
        <w:rPr>
          <w:b w:val="0"/>
          <w:i/>
        </w:rPr>
        <w:t>A</w:t>
      </w:r>
      <w:r>
        <w:rPr>
          <w:b w:val="0"/>
          <w:i w:val="0"/>
        </w:rPr>
        <w:t>) PIKfyve (PIP5K3), best withheld-bin seed (43). Left, measured p-ERK trajectories coloured by GFP bin; centre, trajectories reconstructed by integrating the recovered rate law; right, the inferred dependency structure. Withheld-bin R² = 0.942. (</w:t>
      </w:r>
      <w:r>
        <w:rPr>
          <w:b w:val="0"/>
          <w:i/>
        </w:rPr>
        <w:t>B</w:t>
      </w:r>
      <w:r>
        <w:rPr>
          <w:b w:val="0"/>
          <w:i w:val="0"/>
        </w:rPr>
        <w:t>) As (</w:t>
      </w:r>
      <w:r>
        <w:rPr>
          <w:b w:val="0"/>
          <w:i/>
        </w:rPr>
        <w:t>A</w:t>
      </w:r>
      <w:r>
        <w:rPr>
          <w:b w:val="0"/>
          <w:i w:val="0"/>
        </w:rPr>
        <w:t>) for PTPN7, seed 42, withheld-bin R² = 0.935. Both laws were selected by requiring R² ≥ 0.6 on both training and withheld bins and ranking by withheld R²; equations are given in the main text. Colour denotes GFP bin throughout, from lowest (dark) to highest (light); the highest bins are those withheld from training.</w:t>
      </w:r>
    </w:p>
    <w:p>
      <w:pPr>
        <w:spacing w:before="320"/>
      </w:pPr>
      <w:r>
        <w:rPr>
          <w:b/>
          <w:i w:val="0"/>
          <w:sz w:val="26"/>
        </w:rPr>
        <w:t>SI structure (no page limit)</w:t>
      </w:r>
    </w:p>
    <w:p>
      <w:pPr>
        <w:jc w:val="both"/>
      </w:pPr>
      <w:r>
        <w:rPr>
          <w:b/>
          <w:i w:val="0"/>
        </w:rPr>
        <w:t>SI Methods</w:t>
      </w:r>
      <w:r>
        <w:rPr>
          <w:b w:val="0"/>
          <w:i w:val="0"/>
        </w:rPr>
        <w:t xml:space="preserve"> — the full 3,184-word Methods from the current draft, relocated with equations intact: enzyme mechanism formulations; parameter sampling, simulation schedule and steady-state criterion; quality control; experimental preprocessing and rise-and-fall fitting with AICc tie-breaking; SR task definitions and full PySR configuration including the custom loss penalties; the 72-configuration selection sweep; alternative SR implementations (AI-Feynman, DSO, KAN); Michaelis–Menten, MLP, linear and sparse neural ODE baselines; metric definitions including symbolic complexity and participation ratio; degradation regime definitions; numerical integration; hyperparameter selection; reproducibility.</w:t>
      </w:r>
    </w:p>
    <w:p>
      <w:r>
        <w:rPr>
          <w:b w:val="0"/>
          <w:i w:val="0"/>
          <w:sz w:val="20"/>
        </w:rPr>
        <w:t xml:space="preserve">    Table S1–S7 — recovered expressions per degradation condition, both observables</w:t>
      </w:r>
    </w:p>
    <w:p>
      <w:r>
        <w:rPr>
          <w:b w:val="0"/>
          <w:i w:val="0"/>
          <w:sz w:val="20"/>
        </w:rPr>
        <w:t xml:space="preserve">    Table S8 — sparsity regulariser comparison (L21 / L1 / path)</w:t>
      </w:r>
    </w:p>
    <w:p>
      <w:r>
        <w:rPr>
          <w:b w:val="0"/>
          <w:i w:val="0"/>
          <w:sz w:val="20"/>
        </w:rPr>
        <w:t xml:space="preserve">    Table S9 — sparse neural ODE architecture grid</w:t>
      </w:r>
    </w:p>
    <w:p>
      <w:r>
        <w:rPr>
          <w:b w:val="0"/>
          <w:i w:val="0"/>
          <w:sz w:val="20"/>
        </w:rPr>
        <w:t xml:space="preserve">    Table S10 — the 72-configuration PySR sweep, ranked by training-bin R²</w:t>
      </w:r>
    </w:p>
    <w:p>
      <w:r>
        <w:rPr>
          <w:b w:val="0"/>
          <w:i w:val="0"/>
          <w:sz w:val="20"/>
        </w:rPr>
        <w:t xml:space="preserve">    Fig. S1 — ablation of the custom loss penalties </w:t>
      </w:r>
      <w:r>
        <w:rPr>
          <w:b w:val="0"/>
          <w:i/>
          <w:sz w:val="20"/>
        </w:rPr>
        <w:t>(regenerate on the current configuration)</w:t>
      </w:r>
    </w:p>
    <w:p>
      <w:r>
        <w:rPr>
          <w:b w:val="0"/>
          <w:i w:val="0"/>
          <w:sz w:val="20"/>
        </w:rPr>
        <w:t xml:space="preserve">    Fig. S2 — integrated trajectories near the R² = 0.6 threshold </w:t>
      </w:r>
      <w:r>
        <w:rPr>
          <w:b w:val="0"/>
          <w:i/>
          <w:sz w:val="20"/>
        </w:rPr>
        <w:t>(regenerate on the withheld split)</w:t>
      </w:r>
    </w:p>
    <w:p>
      <w:r>
        <w:rPr>
          <w:b w:val="0"/>
          <w:i w:val="0"/>
          <w:sz w:val="20"/>
        </w:rPr>
        <w:t xml:space="preserve">    Fig. S3 — regulariser and λ selection; validation R² against withheld R²</w:t>
      </w:r>
    </w:p>
    <w:p>
      <w:r>
        <w:rPr>
          <w:b w:val="0"/>
          <w:i w:val="0"/>
          <w:sz w:val="20"/>
        </w:rPr>
        <w:t xml:space="preserve">    Fig. S4 — linear baseline restricted to four inputs (complexity-matched)</w:t>
      </w:r>
    </w:p>
    <w:p>
      <w:r>
        <w:rPr>
          <w:b w:val="0"/>
          <w:i w:val="0"/>
          <w:sz w:val="20"/>
        </w:rPr>
        <w:t xml:space="preserve">    Fig. S5 — third recovered law (ALPK2), withheld R² = 0.734, single-seed</w:t>
      </w:r>
    </w:p>
    <w:p>
      <w:pPr>
        <w:spacing w:before="320"/>
      </w:pPr>
      <w:r>
        <w:rPr>
          <w:b/>
          <w:i w:val="0"/>
          <w:sz w:val="26"/>
        </w:rPr>
        <w:t>What this compression costs</w:t>
      </w:r>
    </w:p>
    <w:p>
      <w:r>
        <w:rPr>
          <w:b w:val="0"/>
          <w:i w:val="0"/>
          <w:sz w:val="21"/>
        </w:rPr>
        <w:t xml:space="preserve">1. </w:t>
      </w:r>
      <w:r>
        <w:rPr>
          <w:b/>
          <w:i w:val="0"/>
          <w:sz w:val="21"/>
        </w:rPr>
        <w:t>The synthetic work becomes calibration.</w:t>
      </w:r>
      <w:r>
        <w:rPr>
          <w:b w:val="0"/>
          <w:i w:val="0"/>
          <w:sz w:val="21"/>
        </w:rPr>
        <w:t xml:space="preserve"> Five degradation experiments are narrated as three</w:t>
      </w:r>
    </w:p>
    <w:p>
      <w:pPr>
        <w:jc w:val="both"/>
      </w:pPr>
      <w:r>
        <w:rPr>
          <w:b w:val="0"/>
          <w:i w:val="0"/>
        </w:rPr>
        <w:t>axes plus two manipulations. Every finding survives; the per-experiment framing does not. The section heading has to change from "identifies and extends existing coarse-grained models" to something matching a 750-word treatment, and the abstract's synthetic clause should shorten with it.</w:t>
      </w:r>
    </w:p>
    <w:p>
      <w:r>
        <w:rPr>
          <w:b w:val="0"/>
          <w:i w:val="0"/>
          <w:sz w:val="21"/>
        </w:rPr>
        <w:t xml:space="preserve">2. </w:t>
      </w:r>
      <w:r>
        <w:rPr>
          <w:b/>
          <w:i w:val="0"/>
          <w:sz w:val="21"/>
        </w:rPr>
        <w:t>The lens × degradation interaction is gone</w:t>
      </w:r>
      <w:r>
        <w:rPr>
          <w:b w:val="0"/>
          <w:i w:val="0"/>
          <w:sz w:val="21"/>
        </w:rPr>
        <w:t xml:space="preserve"> from the main text (Tables S5–S7 retain it). It</w:t>
      </w:r>
    </w:p>
    <w:p>
      <w:pPr>
        <w:jc w:val="both"/>
      </w:pPr>
      <w:r>
        <w:rPr>
          <w:b w:val="0"/>
          <w:i w:val="0"/>
        </w:rPr>
        <w:t>was a second-order result between two effects established separately.</w:t>
      </w:r>
    </w:p>
    <w:p>
      <w:r>
        <w:rPr>
          <w:b w:val="0"/>
          <w:i w:val="0"/>
          <w:sz w:val="21"/>
        </w:rPr>
        <w:t xml:space="preserve">3. </w:t>
      </w:r>
      <w:r>
        <w:rPr>
          <w:b/>
          <w:i w:val="0"/>
          <w:sz w:val="21"/>
        </w:rPr>
        <w:t>ALPK2 moves to SI.</w:t>
      </w:r>
      <w:r>
        <w:rPr>
          <w:b w:val="0"/>
          <w:i w:val="0"/>
          <w:sz w:val="21"/>
        </w:rPr>
        <w:t xml:space="preserve"> Fig. 5 has two panels, which is also the more honest figure: PIKfyve and</w:t>
      </w:r>
    </w:p>
    <w:p>
      <w:pPr>
        <w:jc w:val="both"/>
      </w:pPr>
      <w:r>
        <w:rPr>
          <w:b w:val="0"/>
          <w:i w:val="0"/>
        </w:rPr>
        <w:t>PTPN7 are the only reproducible successes.</w:t>
      </w:r>
    </w:p>
    <w:p>
      <w:r>
        <w:rPr>
          <w:b w:val="0"/>
          <w:i w:val="0"/>
          <w:sz w:val="21"/>
        </w:rPr>
        <w:t xml:space="preserve">4. </w:t>
      </w:r>
      <w:r>
        <w:rPr>
          <w:b/>
          <w:i w:val="0"/>
          <w:sz w:val="21"/>
        </w:rPr>
        <w:t>Nothing is deleted, and the SI grows</w:t>
      </w:r>
      <w:r>
        <w:rPr>
          <w:b w:val="0"/>
          <w:i w:val="0"/>
          <w:sz w:val="21"/>
        </w:rPr>
        <w:t xml:space="preserve"> from ~250 words of legends to ~4,000 words plus five</w:t>
      </w:r>
    </w:p>
    <w:p>
      <w:pPr>
        <w:jc w:val="both"/>
      </w:pPr>
      <w:r>
        <w:rPr>
          <w:b w:val="0"/>
          <w:i w:val="0"/>
        </w:rPr>
        <w:t>figures and ten tables.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