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2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0" w:name="_gjdgxs"/>
      <w:r/>
      <w:bookmarkEnd w:id="0"/>
      <w:r>
        <w:rPr>
          <w:b/>
          <w:color w:val="000000"/>
          <w:sz w:val="26"/>
          <w:szCs w:val="26"/>
          <w:rtl w:val="0"/>
        </w:rPr>
        <w:t xml:space="preserve">Название задачи: Оформление депозитов</w:t>
      </w:r>
      <w:r>
        <w:rPr>
          <w:b/>
          <w:color w:val="000000"/>
          <w:sz w:val="26"/>
          <w:szCs w:val="26"/>
        </w:rPr>
      </w:r>
    </w:p>
    <w:p>
      <w:pPr>
        <w:pStyle w:val="632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1" w:name="_30j0zll"/>
      <w:r/>
      <w:bookmarkEnd w:id="1"/>
      <w:r>
        <w:rPr>
          <w:b/>
          <w:color w:val="000000"/>
          <w:sz w:val="26"/>
          <w:szCs w:val="26"/>
          <w:rtl w:val="0"/>
        </w:rPr>
        <w:t xml:space="preserve">Автор: Фролов Антон</w:t>
      </w:r>
      <w:r>
        <w:rPr>
          <w:b/>
          <w:color w:val="000000"/>
          <w:sz w:val="26"/>
          <w:szCs w:val="26"/>
        </w:rPr>
      </w:r>
    </w:p>
    <w:p>
      <w:pPr>
        <w:pStyle w:val="632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2" w:name="_1fob9te"/>
      <w:r/>
      <w:bookmarkEnd w:id="2"/>
      <w:r>
        <w:rPr>
          <w:b/>
          <w:color w:val="000000"/>
          <w:sz w:val="26"/>
          <w:szCs w:val="26"/>
          <w:rtl w:val="0"/>
        </w:rPr>
        <w:t xml:space="preserve">Дата: 25.01.2025</w:t>
      </w:r>
      <w:r>
        <w:rPr>
          <w:b/>
          <w:color w:val="000000"/>
          <w:sz w:val="26"/>
          <w:szCs w:val="26"/>
        </w:rPr>
      </w:r>
    </w:p>
    <w:p>
      <w:pPr>
        <w:pStyle w:val="632"/>
        <w:keepLines w:val="0"/>
        <w:keepNext w:val="0"/>
        <w:spacing w:before="280"/>
      </w:pPr>
      <w:r/>
      <w:bookmarkStart w:id="3" w:name="_3znysh7"/>
      <w:r/>
      <w:bookmarkEnd w:id="3"/>
      <w:r>
        <w:rPr>
          <w:b/>
          <w:color w:val="000000"/>
          <w:sz w:val="26"/>
          <w:szCs w:val="26"/>
          <w:rtl w:val="0"/>
        </w:rPr>
        <w:t xml:space="preserve">Функциональные требования</w:t>
      </w:r>
      <w:r>
        <w:rPr>
          <w:rtl w:val="0"/>
        </w:rPr>
      </w:r>
      <w:r/>
    </w:p>
    <w:tbl>
      <w:tblPr>
        <w:tblStyle w:val="638"/>
        <w:tblW w:w="8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753"/>
        <w:gridCol w:w="3692"/>
        <w:tblGridChange w:id="0">
          <w:tblGrid>
            <w:gridCol w:w="465"/>
            <w:gridCol w:w="2295"/>
            <w:gridCol w:w="1753"/>
            <w:gridCol w:w="3692"/>
          </w:tblGrid>
        </w:tblGridChange>
      </w:tblGrid>
      <w:tr>
        <w:tblPrEx/>
        <w:trPr>
          <w:cantSplit w:val="false"/>
          <w:trHeight w:val="51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rtl w:val="0"/>
              </w:rPr>
              <w:t xml:space="preserve">№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Действующие лица или системы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Use Case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Описание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Посетитель, сайт, АБС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Отображение списка доступных депозитов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Посетитель сайта открывает список доступных депозитов</w:t>
            </w:r>
            <w:r/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Web страница получает от системы АБС список актуальных депозитов</w:t>
            </w:r>
            <w:r/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АБС возвращает список</w:t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Посетитель, сайт, ПО Call-центра, Оператор Call-центра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Размещение заявки на депозит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Клиент напротив заинтересовавшего пункта из списка депозитов нажимает на кнопку “отправить заявку”, вводит свои данные, нажимает отправить</w:t>
            </w:r>
            <w:r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Заявка попадает в ПО Call-центра, которую видит оператор</w:t>
            </w:r>
            <w:r/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Оператор перезванивает по контактным данным для уточнения деталей и предлжения </w:t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Клиент, Интернет-банк, АБС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Отображение списка доступных депозитов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Клиент открывает интернет-банк</w:t>
            </w:r>
            <w:r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Интерент-банк запрашивает у АБС список актуальных депозитов</w:t>
            </w:r>
            <w:r/>
          </w:p>
          <w:p>
            <w:pPr>
              <w:numPr>
                <w:ilvl w:val="0"/>
                <w:numId w:val="2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АБС возвращает список</w:t>
            </w:r>
            <w:r/>
          </w:p>
          <w:p>
            <w:r>
              <w:rPr>
                <w:rtl w:val="0"/>
              </w:rPr>
            </w:r>
            <w:r/>
          </w:p>
          <w:p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Клиент, Интерент-банк, АБС, СМС-шлюз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Отправка заявки на депозит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Клиент выбирает из списка понравившийся депозит, напротив нажимает кнопку “Оформит”</w:t>
            </w:r>
            <w:r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В форме указывает нелюходимые данные: сумма, срок и т.д.</w:t>
            </w:r>
            <w:r/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Отправляет форму </w:t>
            </w:r>
            <w:r/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Для подтверждения заявки клиент вводит код из СМС оповещения о согласии на размещение заявки</w:t>
            </w:r>
            <w:r/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АБС обрабатывает заявку</w:t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Оператор back-office, АБС, СМС-шлюз, клиент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r>
              <w:rPr>
                <w:rtl w:val="0"/>
              </w:rPr>
              <w:t xml:space="preserve">Согласование заявки на депозит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Оператор видит (получает уведомление) о новой заявке</w:t>
            </w:r>
            <w:r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Оператор подтверждает условия размещения депозита</w:t>
            </w:r>
            <w:r/>
          </w:p>
          <w:p>
            <w:pPr>
              <w:numPr>
                <w:ilvl w:val="0"/>
                <w:numId w:val="1"/>
              </w:numPr>
              <w:ind w:left="709" w:right="0" w:hanging="360"/>
              <w:jc w:val="left"/>
              <w:keepLines w:val="0"/>
              <w:keepNext w:val="0"/>
              <w:pageBreakBefore w:val="0"/>
              <w:spacing w:before="0" w:after="0" w:line="276" w:lineRule="auto"/>
              <w:shd w:val="clear" w:color="auto" w:fill="auto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Клиент получает СМС уведомление о размещенном депозите </w:t>
            </w:r>
            <w:r/>
          </w:p>
        </w:tc>
      </w:tr>
    </w:tbl>
    <w:p>
      <w:pPr>
        <w:pStyle w:val="632"/>
        <w:keepLines w:val="0"/>
        <w:keepNext w:val="0"/>
        <w:spacing w:before="280"/>
      </w:pPr>
      <w:r/>
      <w:bookmarkStart w:id="4" w:name="_2et92p0"/>
      <w:r/>
      <w:bookmarkEnd w:id="4"/>
      <w:r>
        <w:rPr>
          <w:b/>
          <w:color w:val="000000"/>
          <w:sz w:val="26"/>
          <w:szCs w:val="26"/>
          <w:rtl w:val="0"/>
        </w:rPr>
        <w:t xml:space="preserve">Нефункциональные требования</w:t>
      </w:r>
      <w:r>
        <w:rPr>
          <w:rtl w:val="0"/>
        </w:rPr>
      </w:r>
      <w:r/>
    </w:p>
    <w:tbl>
      <w:tblPr>
        <w:tblStyle w:val="639"/>
        <w:tblW w:w="81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686"/>
        <w:gridCol w:w="7504"/>
        <w:tblGridChange w:id="1">
          <w:tblGrid>
            <w:gridCol w:w="686"/>
            <w:gridCol w:w="7504"/>
          </w:tblGrid>
        </w:tblGridChange>
      </w:tblGrid>
      <w:tr>
        <w:tblPrEx/>
        <w:trPr>
          <w:cantSplit w:val="false"/>
          <w:trHeight w:val="51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rtl w:val="0"/>
              </w:rPr>
              <w:t xml:space="preserve">№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b/>
                <w:rtl w:val="0"/>
              </w:rPr>
              <w:t xml:space="preserve">Требование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Высокая доступность (99,9%)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Безопасность данных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Резервное копирование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Масштабируемость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  <w:trHeight w:val="23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(Гео)распределенность</w:t>
            </w:r>
            <w:r>
              <w:rPr>
                <w:rtl w:val="0"/>
              </w:rPr>
            </w:r>
            <w:r/>
          </w:p>
        </w:tc>
      </w:tr>
    </w:tbl>
    <w:p>
      <w:pPr>
        <w:pStyle w:val="632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5" w:name="_tyjcwt"/>
      <w:r/>
      <w:bookmarkEnd w:id="5"/>
      <w:r>
        <w:rPr>
          <w:b/>
          <w:color w:val="000000"/>
          <w:sz w:val="26"/>
          <w:szCs w:val="26"/>
          <w:rtl w:val="0"/>
        </w:rPr>
        <w:t xml:space="preserve">Решение</w:t>
      </w:r>
      <w:r>
        <w:rPr>
          <w:b/>
          <w:color w:val="000000"/>
          <w:sz w:val="26"/>
          <w:szCs w:val="26"/>
        </w:rPr>
      </w:r>
    </w:p>
    <w:p>
      <w:pPr>
        <w:spacing w:before="240" w:after="240"/>
        <w:rPr>
          <w:shd w:val="clear" w:color="auto" w:fill="auto"/>
        </w:rPr>
      </w:pPr>
      <w:r>
        <w:rPr>
          <w:shd w:val="clear" w:color="auto" w:fil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4" cy="4209342"/>
                <wp:effectExtent l="0" t="0" r="0" b="0"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3414" cy="420934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1.45pt;height:331.44pt;mso-wrap-distance-left:0.00pt;mso-wrap-distance-top:0.00pt;mso-wrap-distance-right:0.00pt;mso-wrap-distance-bottom:0.00pt;">
                <v:path textboxrect="0,0,0,0"/>
                <v:imagedata r:id="rId9" o:title=""/>
              </v:shape>
            </w:pict>
          </mc:Fallback>
        </mc:AlternateContent>
      </w:r>
      <w:r>
        <w:rPr>
          <w:rtl w:val="0"/>
        </w:rPr>
      </w:r>
      <w:r>
        <w:rPr>
          <w:shd w:val="clear" w:color="auto" w:fill="auto"/>
        </w:rPr>
      </w:r>
    </w:p>
    <w:p>
      <w:pPr>
        <w:spacing w:before="240" w:after="24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4" cy="3556168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3414" cy="35561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1.45pt;height:280.01pt;mso-wrap-distance-left:0.00pt;mso-wrap-distance-top:0.00pt;mso-wrap-distance-right:0.00pt;mso-wrap-distance-bottom:0.00pt;">
                <v:path textboxrect="0,0,0,0"/>
                <v:imagedata r:id="rId10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</w:r>
      <w:r/>
    </w:p>
    <w:p>
      <w:pPr>
        <w:spacing w:before="240" w:after="240"/>
      </w:pPr>
      <w:r>
        <w:rPr>
          <w:shd w:val="clear" w:color="auto" w:fil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4858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6191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3414" cy="3485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51.45pt;height:274.48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240" w:after="240"/>
        <w:rPr>
          <w:shd w:val="clear" w:color="auto" w:fill="auto"/>
        </w:rPr>
      </w:pPr>
      <w:r>
        <w:rPr>
          <w:rtl w:val="0"/>
        </w:rPr>
        <w:t xml:space="preserve">В рамках MVP почти полностью ограничимся имеющимися технологиями и стеком, особенно, с учетом накладываемых ограничений. </w:t>
      </w:r>
      <w:r>
        <w:rPr>
          <w:rtl w:val="0"/>
        </w:rPr>
        <w:t xml:space="preserve">Добавим лишь новый сервис для асинхронного сбора метрик из АБС, сервис будет взаимодействовать с АБС средствами JMS по модели точка-точка, т.к. потребитель один, а так же т.к. Модель потребитель-издатель вынуждает потребителей работать во время отправки.</w:t>
      </w:r>
      <w:r>
        <w:rPr>
          <w:shd w:val="clear" w:color="auto" w:fill="auto"/>
        </w:rPr>
      </w:r>
    </w:p>
    <w:p>
      <w:pPr>
        <w:pStyle w:val="632"/>
        <w:keepLines w:val="0"/>
        <w:keepNext w:val="0"/>
        <w:spacing w:before="280"/>
        <w:rPr>
          <w:b/>
          <w:color w:val="000000"/>
          <w:sz w:val="26"/>
          <w:szCs w:val="26"/>
        </w:rPr>
      </w:pPr>
      <w:r/>
      <w:bookmarkStart w:id="6" w:name="_3dy6vkm"/>
      <w:r/>
      <w:bookmarkEnd w:id="6"/>
      <w:r>
        <w:rPr>
          <w:b/>
          <w:color w:val="000000"/>
          <w:sz w:val="26"/>
          <w:szCs w:val="26"/>
          <w:rtl w:val="0"/>
        </w:rPr>
        <w:t xml:space="preserve">Альтернативы</w:t>
      </w:r>
      <w:r>
        <w:rPr>
          <w:b/>
          <w:color w:val="000000"/>
          <w:sz w:val="26"/>
          <w:szCs w:val="26"/>
        </w:rPr>
      </w:r>
    </w:p>
    <w:p>
      <w:pPr>
        <w:spacing w:before="240" w:after="240"/>
      </w:pPr>
      <w:r>
        <w:rPr>
          <w:rtl w:val="0"/>
        </w:rPr>
        <w:t xml:space="preserve">Возможен вариант с переходом на микросервисную архитектуру с асинхронным взаимодействием между компонентами, а так же использование полностью или частично нового стека.</w:t>
      </w:r>
      <w:r/>
    </w:p>
    <w:p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 xml:space="preserve">Недостатки, ограничения, риски</w:t>
      </w:r>
      <w:r>
        <w:rPr>
          <w:b/>
          <w:color w:val="000000"/>
          <w:sz w:val="26"/>
          <w:szCs w:val="26"/>
        </w:rPr>
      </w:r>
    </w:p>
    <w:p>
      <w:pPr>
        <w:numPr>
          <w:ilvl w:val="0"/>
          <w:numId w:val="3"/>
        </w:numPr>
        <w:ind w:left="709" w:right="0" w:hanging="36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АБС поддерживает только вертикальное масштабирование</w:t>
      </w:r>
      <w:r>
        <w:rPr>
          <w:rtl w:val="0"/>
        </w:rPr>
      </w:r>
      <w:r/>
    </w:p>
    <w:p>
      <w:pPr>
        <w:numPr>
          <w:ilvl w:val="0"/>
          <w:numId w:val="3"/>
        </w:numPr>
        <w:ind w:left="709" w:right="0" w:hanging="36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Необходимость хранения персональных данных</w:t>
      </w:r>
      <w:r>
        <w:rPr>
          <w:rtl w:val="0"/>
        </w:rPr>
      </w:r>
      <w:r/>
    </w:p>
    <w:p>
      <w:pPr>
        <w:numPr>
          <w:ilvl w:val="0"/>
          <w:numId w:val="3"/>
        </w:numPr>
        <w:ind w:left="709" w:right="0" w:hanging="36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Лучше избежать прямой работы с API АБС</w:t>
      </w:r>
      <w:r>
        <w:rPr>
          <w:rtl w:val="0"/>
        </w:rPr>
      </w:r>
      <w:r/>
    </w:p>
    <w:p>
      <w:pPr>
        <w:numPr>
          <w:ilvl w:val="0"/>
          <w:numId w:val="3"/>
        </w:numPr>
        <w:ind w:left="709" w:right="0" w:hanging="36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Макимальное использование имеющихся технологий (MS SQL и Oracle)</w:t>
      </w:r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Symbols"/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59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14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0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69" w:hanging="360"/>
      </w:pPr>
      <w:rPr>
        <w:rFonts w:ascii="Noto Sans Symbols" w:hAnsi="Noto Sans Symbols" w:eastAsia="Noto Sans Symbols" w:cs="Noto Sans Symbol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59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14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0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69" w:hanging="360"/>
      </w:pPr>
      <w:rPr>
        <w:rFonts w:ascii="Noto Sans Symbols" w:hAnsi="Noto Sans Symbols" w:eastAsia="Noto Sans Symbols" w:cs="Noto Sans Symbol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59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14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0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69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3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3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32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33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34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35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8"/>
    <w:next w:val="62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8"/>
    <w:next w:val="62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8"/>
    <w:next w:val="62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8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36"/>
    <w:uiPriority w:val="10"/>
    <w:rPr>
      <w:sz w:val="48"/>
      <w:szCs w:val="48"/>
    </w:rPr>
  </w:style>
  <w:style w:type="character" w:styleId="37">
    <w:name w:val="Subtitle Char"/>
    <w:basedOn w:val="11"/>
    <w:link w:val="637"/>
    <w:uiPriority w:val="11"/>
    <w:rPr>
      <w:sz w:val="24"/>
      <w:szCs w:val="24"/>
    </w:rPr>
  </w:style>
  <w:style w:type="paragraph" w:styleId="38">
    <w:name w:val="Quote"/>
    <w:basedOn w:val="628"/>
    <w:next w:val="62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8"/>
    <w:next w:val="62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28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28"/>
    <w:next w:val="62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2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28"/>
    <w:next w:val="62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8"/>
    <w:next w:val="62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8"/>
    <w:next w:val="62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8"/>
    <w:next w:val="62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8"/>
    <w:next w:val="62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8"/>
    <w:next w:val="62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8"/>
    <w:next w:val="62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8"/>
    <w:next w:val="62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8"/>
    <w:next w:val="62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8"/>
    <w:next w:val="628"/>
    <w:uiPriority w:val="99"/>
    <w:unhideWhenUsed/>
    <w:pPr>
      <w:spacing w:after="0" w:afterAutospacing="0"/>
    </w:pPr>
  </w:style>
  <w:style w:type="paragraph" w:styleId="628" w:default="1">
    <w:name w:val="Normal"/>
  </w:style>
  <w:style w:type="table" w:styleId="629" w:default="1">
    <w:name w:val="Table Normal"/>
    <w:tblPr/>
  </w:style>
  <w:style w:type="paragraph" w:styleId="630">
    <w:name w:val="Heading 1"/>
    <w:basedOn w:val="628"/>
    <w:next w:val="628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31">
    <w:name w:val="Heading 2"/>
    <w:basedOn w:val="628"/>
    <w:next w:val="628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632">
    <w:name w:val="Heading 3"/>
    <w:basedOn w:val="628"/>
    <w:next w:val="628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633">
    <w:name w:val="Heading 4"/>
    <w:basedOn w:val="628"/>
    <w:next w:val="628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34">
    <w:name w:val="Heading 5"/>
    <w:basedOn w:val="628"/>
    <w:next w:val="628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35">
    <w:name w:val="Heading 6"/>
    <w:basedOn w:val="628"/>
    <w:next w:val="628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636">
    <w:name w:val="Title"/>
    <w:basedOn w:val="628"/>
    <w:next w:val="628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37">
    <w:name w:val="Subtitle"/>
    <w:basedOn w:val="628"/>
    <w:next w:val="628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38">
    <w:name w:val="StGen0"/>
    <w:basedOn w:val="629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639">
    <w:name w:val="StGen1"/>
    <w:basedOn w:val="629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1229" w:default="1">
    <w:name w:val="Default Paragraph Font"/>
    <w:uiPriority w:val="1"/>
    <w:semiHidden/>
    <w:unhideWhenUsed/>
  </w:style>
  <w:style w:type="numbering" w:styleId="123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