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3.png" ContentType="image/png"/>
  <Override PartName="/word/media/rId36.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fb138525b39cd0d7feac4f740c7317869fc8a37"/>
    <w:p>
      <w:pPr>
        <w:pStyle w:val="Heading1"/>
      </w:pPr>
      <w:r>
        <w:t xml:space="preserve">Plataforma de IA legal para México — Plan reestructurado y verificado</w:t>
      </w:r>
    </w:p>
    <w:bookmarkStart w:id="20" w:name="X7df92b17e00c66d7e1c681f9aa67f7f6a465866"/>
    <w:p>
      <w:pPr>
        <w:pStyle w:val="Heading2"/>
      </w:pPr>
      <w:r>
        <w:t xml:space="preserve">Un solo núcleo de IA, tres niveles de servicio y un motor de precisión: LLM destilado + RAG con verificación de citas</w:t>
      </w:r>
    </w:p>
    <w:p>
      <w:pPr>
        <w:pStyle w:val="FirstParagraph"/>
      </w:pPr>
      <w:r>
        <w:rPr>
          <w:bCs/>
          <w:b/>
        </w:rPr>
        <w:t xml:space="preserve">Fecha de elaboración:</w:t>
      </w:r>
      <w:r>
        <w:t xml:space="preserve"> </w:t>
      </w:r>
      <w:r>
        <w:t xml:space="preserve">26 de julio de 2026 (segunda revisión: cifras verificadas y ampliada la arquitectura del modelo)</w:t>
      </w:r>
      <w:r>
        <w:t xml:space="preserve"> </w:t>
      </w:r>
      <w:r>
        <w:rPr>
          <w:bCs/>
          <w:b/>
        </w:rPr>
        <w:t xml:space="preserve">Naturaleza del documento:</w:t>
      </w:r>
      <w:r>
        <w:t xml:space="preserve"> </w:t>
      </w:r>
      <w:r>
        <w:t xml:space="preserve">re-análisis, reescritura y reestructuración del plan contenido en</w:t>
      </w:r>
      <w:r>
        <w:t xml:space="preserve"> </w:t>
      </w:r>
      <w:r>
        <w:rPr>
          <w:iCs/>
          <w:i/>
        </w:rPr>
        <w:t xml:space="preserve">Investigación Plataforma IA Legal México</w:t>
      </w:r>
      <w:r>
        <w:t xml:space="preserve"> </w:t>
      </w:r>
      <w:r>
        <w:t xml:space="preserve">(Partes I y II). Las conclusiones de mercado, competencia y cumplimiento de ese documento se conservan y se citan con su numeración original</w:t>
      </w:r>
      <w:r>
        <w:t xml:space="preserve"> </w:t>
      </w:r>
      <w:r>
        <w:rPr>
          <w:vertAlign w:val="superscript"/>
        </w:rPr>
        <w:footnoteReference w:id="1"/>
      </w:r>
      <w:r>
        <w:t xml:space="preserve">–</w:t>
      </w:r>
      <w:r>
        <w:rPr>
          <w:vertAlign w:val="superscript"/>
        </w:rPr>
        <w:footnoteReference w:id="2"/>
      </w:r>
      <w:r>
        <w:t xml:space="preserve">; la investigación de la primera revisión (pagos en efectivo, despliegue local, OCR, hardware) usa las fuentes</w:t>
      </w:r>
      <w:r>
        <w:t xml:space="preserve"> </w:t>
      </w:r>
      <w:r>
        <w:rPr>
          <w:vertAlign w:val="superscript"/>
        </w:rPr>
        <w:footnoteReference w:id="3"/>
      </w:r>
      <w:r>
        <w:t xml:space="preserve">–</w:t>
      </w:r>
      <w:r>
        <w:rPr>
          <w:vertAlign w:val="superscript"/>
        </w:rPr>
        <w:footnoteReference w:id="4"/>
      </w:r>
      <w:r>
        <w:t xml:space="preserve">; la segunda revisión (verificación de cifras y motor destilado + RAG) incorpora las fuentes</w:t>
      </w:r>
      <w:r>
        <w:t xml:space="preserve"> </w:t>
      </w:r>
      <w:r>
        <w:rPr>
          <w:vertAlign w:val="superscript"/>
        </w:rPr>
        <w:footnoteReference w:id="5"/>
      </w:r>
      <w:r>
        <w:t xml:space="preserve">–</w:t>
      </w:r>
      <w:r>
        <w:rPr>
          <w:vertAlign w:val="superscript"/>
        </w:rPr>
        <w:footnoteReference w:id="6"/>
      </w:r>
      <w:r>
        <w:t xml:space="preserve">.</w:t>
      </w:r>
    </w:p>
    <w:p>
      <w:r>
        <w:pict>
          <v:rect style="width:0;height:1.5pt" o:hralign="center" o:hrstd="t" o:hr="t"/>
        </w:pict>
      </w:r>
    </w:p>
    <w:bookmarkEnd w:id="20"/>
    <w:bookmarkStart w:id="21" w:name="resumen-ejecutivo"/>
    <w:p>
      <w:pPr>
        <w:pStyle w:val="Heading2"/>
      </w:pPr>
      <w:r>
        <w:t xml:space="preserve">1. Resumen ejecutivo</w:t>
      </w:r>
    </w:p>
    <w:p>
      <w:pPr>
        <w:pStyle w:val="FirstParagraph"/>
      </w:pPr>
      <w:r>
        <w:t xml:space="preserve">Este plan propone</w:t>
      </w:r>
      <w:r>
        <w:t xml:space="preserve"> </w:t>
      </w:r>
      <w:r>
        <w:rPr>
          <w:bCs/>
          <w:b/>
        </w:rPr>
        <w:t xml:space="preserve">un solo producto con tres niveles de servicio</w:t>
      </w:r>
      <w:r>
        <w:t xml:space="preserve">, construido sobre un único núcleo tecnológico: un motor de IA jurídica mexicana que combina un</w:t>
      </w:r>
      <w:r>
        <w:t xml:space="preserve"> </w:t>
      </w:r>
      <w:r>
        <w:rPr>
          <w:bCs/>
          <w:b/>
        </w:rPr>
        <w:t xml:space="preserve">modelo de lenguaje destilado y especializado en derecho mexicano</w:t>
      </w:r>
      <w:r>
        <w:t xml:space="preserve"> </w:t>
      </w:r>
      <w:r>
        <w:t xml:space="preserve">con</w:t>
      </w:r>
      <w:r>
        <w:t xml:space="preserve"> </w:t>
      </w:r>
      <w:r>
        <w:rPr>
          <w:bCs/>
          <w:b/>
        </w:rPr>
        <w:t xml:space="preserve">recuperación aumentada (RAG) sobre las fuentes oficiales</w:t>
      </w:r>
      <w:r>
        <w:t xml:space="preserve"> </w:t>
      </w:r>
      <w:r>
        <w:t xml:space="preserve">y</w:t>
      </w:r>
      <w:r>
        <w:t xml:space="preserve"> </w:t>
      </w:r>
      <w:r>
        <w:rPr>
          <w:bCs/>
          <w:b/>
        </w:rPr>
        <w:t xml:space="preserve">verificación automática de cada cita contra registros reales</w:t>
      </w:r>
      <w:r>
        <w:t xml:space="preserve">. Ese motor —descrito en detalle en la sección 7— es lo que permite que cada nivel entregue respuestas precisas, con alucinaciones reducidas al mínimo técnico posible y, en tareas jurídicas mexicanas, con capacidad comparable e incluso superior a la de los modelos frontera de propósito general. La evidencia es contundente: un modelo destilado de 32B ya supera al o1-mini de OpenAI en razonamiento matemático de competencia</w:t>
      </w:r>
      <w:r>
        <w:t xml:space="preserve"> </w:t>
      </w:r>
      <w:r>
        <w:rPr>
          <w:vertAlign w:val="superscript"/>
        </w:rPr>
        <w:footnoteReference w:id="7"/>
      </w:r>
      <w:r>
        <w:t xml:space="preserve">, un modelo legal de apenas 7B entrenado con 30,000 millones de tokens jurídicos estableció el estado del arte en LegalBench-Instruct superando a todos los modelos abiertos de su clase</w:t>
      </w:r>
      <w:r>
        <w:t xml:space="preserve"> </w:t>
      </w:r>
      <w:fldSimple w:instr="NOTEREF _Ref_Footnote_5 \h \f">
        <w:r>
          <w:rPr>
            <w:vertAlign w:val="superscript"/>
          </w:rPr>
          <w:t>5</w:t>
        </w:r>
      </w:fldSimple>
      <w:r>
        <w:t xml:space="preserve">, y los sistemas con recuperación reducen las alucinaciones entre 30% y 70% respecto a un LLM aislado</w:t>
      </w:r>
      <w:r>
        <w:t xml:space="preserve"> </w:t>
      </w:r>
      <w:r>
        <w:rPr>
          <w:vertAlign w:val="superscript"/>
        </w:rPr>
        <w:footnoteReference w:id="8"/>
      </w:r>
      <w:r>
        <w:t xml:space="preserve">.</w:t>
      </w:r>
    </w:p>
    <w:p>
      <w:pPr>
        <w:pStyle w:val="BodyText"/>
      </w:pPr>
      <w:r>
        <w:t xml:space="preserve">Los tres niveles que monetizan ese núcleo son:</w:t>
      </w:r>
    </w:p>
    <w:p>
      <w:pPr>
        <w:numPr>
          <w:ilvl w:val="0"/>
          <w:numId w:val="1001"/>
        </w:numPr>
        <w:pStyle w:val="Compact"/>
      </w:pPr>
      <w:r>
        <w:rPr>
          <w:bCs/>
          <w:b/>
        </w:rPr>
        <w:t xml:space="preserve">Nivel 0 — El ciudadano: la pregunta pagada hasta en OXXO.</w:t>
      </w:r>
      <w:r>
        <w:t xml:space="preserve"> </w:t>
      </w:r>
      <w:r>
        <w:t xml:space="preserve">Orientación con IA como primer nivel, respuesta validada y firmada por un abogado con cédula, y pago por consulta única</w:t>
      </w:r>
      <w:r>
        <w:t xml:space="preserve"> </w:t>
      </w:r>
      <w:r>
        <w:rPr>
          <w:bCs/>
          <w:b/>
        </w:rPr>
        <w:t xml:space="preserve">en efectivo en más de 23,000 tiendas OXXO</w:t>
      </w:r>
      <w:r>
        <w:t xml:space="preserve"> </w:t>
      </w:r>
      <w:r>
        <w:t xml:space="preserve">y miles de corresponsales más</w:t>
      </w:r>
      <w:r>
        <w:t xml:space="preserve"> </w:t>
      </w:r>
      <w:r>
        <w:rPr>
          <w:vertAlign w:val="superscript"/>
        </w:rPr>
        <w:footnoteReference w:id="9"/>
      </w:r>
      <w:r>
        <w:t xml:space="preserve"> </w:t>
      </w:r>
      <w:r>
        <w:rPr>
          <w:vertAlign w:val="superscript"/>
        </w:rPr>
        <w:footnoteReference w:id="10"/>
      </w:r>
      <w:r>
        <w:t xml:space="preserve"> </w:t>
      </w:r>
      <w:r>
        <w:rPr>
          <w:vertAlign w:val="superscript"/>
        </w:rPr>
        <w:footnoteReference w:id="11"/>
      </w:r>
      <w:r>
        <w:t xml:space="preserve">. Ataca la brecha medida por el World Justice Project:</w:t>
      </w:r>
      <w:r>
        <w:t xml:space="preserve"> </w:t>
      </w:r>
      <w:r>
        <w:rPr>
          <w:bCs/>
          <w:b/>
        </w:rPr>
        <w:t xml:space="preserve">49% de los mexicanos tuvo un problema legal en dos años y solo 23% de ellos buscó asesoría legal</w:t>
      </w:r>
      <w:r>
        <w:t xml:space="preserve"> </w:t>
      </w:r>
      <w:r>
        <w:rPr>
          <w:vertAlign w:val="superscript"/>
        </w:rPr>
        <w:footnoteReference w:id="12"/>
      </w:r>
      <w:r>
        <w:t xml:space="preserve">. Es el imán de demanda de todo el sistema.</w:t>
      </w:r>
    </w:p>
    <w:p>
      <w:pPr>
        <w:numPr>
          <w:ilvl w:val="0"/>
          <w:numId w:val="1001"/>
        </w:numPr>
        <w:pStyle w:val="Compact"/>
      </w:pPr>
      <w:r>
        <w:rPr>
          <w:bCs/>
          <w:b/>
        </w:rPr>
        <w:t xml:space="preserve">Nivel 1 — El abogado independiente: captación y productividad en pesos.</w:t>
      </w:r>
      <w:r>
        <w:t xml:space="preserve"> </w:t>
      </w:r>
      <w:r>
        <w:t xml:space="preserve">Suscripción accesible (~MXN 499/mes objetivo) con el asistente de citas verificables, historial y expediente cifrados, OCR de su archivo, y la</w:t>
      </w:r>
      <w:r>
        <w:t xml:space="preserve"> </w:t>
      </w:r>
      <w:r>
        <w:rPr>
          <w:bCs/>
          <w:b/>
        </w:rPr>
        <w:t xml:space="preserve">bandeja de casos calificados por la IA</w:t>
      </w:r>
      <w:r>
        <w:t xml:space="preserve"> </w:t>
      </w:r>
      <w:r>
        <w:t xml:space="preserve">provenientes del Nivel 0. El segmento son los</w:t>
      </w:r>
      <w:r>
        <w:t xml:space="preserve"> </w:t>
      </w:r>
      <w:r>
        <w:rPr>
          <w:bCs/>
          <w:b/>
        </w:rPr>
        <w:t xml:space="preserve">445,000 abogados</w:t>
      </w:r>
      <w:r>
        <w:t xml:space="preserve"> </w:t>
      </w:r>
      <w:r>
        <w:t xml:space="preserve">del país (T1 2026), con salario promedio de apenas MXN 11,100/mes, a quienes los precios en dólares de CoCounsel, Lexis+ AI o Harvey excluyen por completo</w:t>
      </w:r>
      <w:r>
        <w:t xml:space="preserve"> </w:t>
      </w:r>
      <w:r>
        <w:rPr>
          <w:vertAlign w:val="superscript"/>
        </w:rPr>
        <w:footnoteReference w:id="13"/>
      </w:r>
      <w:r>
        <w:t xml:space="preserve"> </w:t>
      </w:r>
      <w:r>
        <w:rPr>
          <w:vertAlign w:val="superscript"/>
        </w:rPr>
        <w:footnoteReference w:id="14"/>
      </w:r>
      <w:r>
        <w:t xml:space="preserve">.</w:t>
      </w:r>
    </w:p>
    <w:p>
      <w:pPr>
        <w:numPr>
          <w:ilvl w:val="0"/>
          <w:numId w:val="1001"/>
        </w:numPr>
        <w:pStyle w:val="Compact"/>
      </w:pPr>
      <w:r>
        <w:rPr>
          <w:bCs/>
          <w:b/>
        </w:rPr>
        <w:t xml:space="preserve">Nivel 2 — El gran despacho: la plataforma en casa del cliente (on-premise).</w:t>
      </w:r>
      <w:r>
        <w:t xml:space="preserve"> </w:t>
      </w:r>
      <w:r>
        <w:t xml:space="preserve">Licencia empresarial con</w:t>
      </w:r>
      <w:r>
        <w:t xml:space="preserve"> </w:t>
      </w:r>
      <w:r>
        <w:rPr>
          <w:bCs/>
          <w:b/>
        </w:rPr>
        <w:t xml:space="preserve">despliegue local del LLM y del archivo documental dentro de la infraestructura del despacho</w:t>
      </w:r>
      <w:r>
        <w:t xml:space="preserve">, OCR de su acervo histórico y actualización sincronizada del corpus. El despliegue local de IA legal ya es una categoría comercial probada, los modelos abiertos con español nativo y licencia Apache 2.0 ya existen, y el hardware necesario cuesta entre</w:t>
      </w:r>
      <w:r>
        <w:t xml:space="preserve"> </w:t>
      </w:r>
      <w:r>
        <w:rPr>
          <w:bCs/>
          <w:b/>
        </w:rPr>
        <w:t xml:space="preserve">USD 3,000 y 25,000</w:t>
      </w:r>
      <w:r>
        <w:t xml:space="preserve"> </w:t>
      </w:r>
      <w:r>
        <w:t xml:space="preserve">por nodo</w:t>
      </w:r>
      <w:r>
        <w:t xml:space="preserve"> </w:t>
      </w:r>
      <w:r>
        <w:rPr>
          <w:vertAlign w:val="superscript"/>
        </w:rPr>
        <w:footnoteReference w:id="15"/>
      </w:r>
      <w:r>
        <w:t xml:space="preserve"> </w:t>
      </w:r>
      <w:r>
        <w:rPr>
          <w:vertAlign w:val="superscript"/>
        </w:rPr>
        <w:footnoteReference w:id="16"/>
      </w:r>
      <w:r>
        <w:t xml:space="preserve"> </w:t>
      </w:r>
      <w:r>
        <w:rPr>
          <w:vertAlign w:val="superscript"/>
        </w:rPr>
        <w:footnoteReference w:id="17"/>
      </w:r>
      <w:r>
        <w:t xml:space="preserve">. Solo</w:t>
      </w:r>
      <w:r>
        <w:t xml:space="preserve"> </w:t>
      </w:r>
      <w:r>
        <w:rPr>
          <w:bCs/>
          <w:b/>
        </w:rPr>
        <w:t xml:space="preserve">28% de los grandes despachos y áreas legales corporativas en México</w:t>
      </w:r>
      <w:r>
        <w:t xml:space="preserve"> </w:t>
      </w:r>
      <w:r>
        <w:t xml:space="preserve">ha incorporado IA: la ventana está abierta</w:t>
      </w:r>
      <w:r>
        <w:t xml:space="preserve"> </w:t>
      </w:r>
      <w:fldSimple w:instr="NOTEREF _Ref_Footnote_14 \h \f">
        <w:r>
          <w:rPr>
            <w:vertAlign w:val="superscript"/>
          </w:rPr>
          <w:t>14</w:t>
        </w:r>
      </w:fldSimple>
      <w:r>
        <w:t xml:space="preserve">.</w:t>
      </w:r>
    </w:p>
    <w:p>
      <w:pPr>
        <w:pStyle w:val="FirstParagraph"/>
      </w:pPr>
      <w:r>
        <w:t xml:space="preserve">Las capacidades transversales ya estaban validadas en la investigación original: las fuentes primarias del derecho mexicano son</w:t>
      </w:r>
      <w:r>
        <w:t xml:space="preserve"> </w:t>
      </w:r>
      <w:r>
        <w:rPr>
          <w:bCs/>
          <w:b/>
        </w:rPr>
        <w:t xml:space="preserve">públicas y gratuitas</w:t>
      </w:r>
      <w:r>
        <w:t xml:space="preserve"> </w:t>
      </w:r>
      <w:r>
        <w:t xml:space="preserve">(DOF, LeyesBiblio, Orden Jurídico Nacional, Semanario Judicial de la Federación)</w:t>
      </w:r>
      <w:r>
        <w:t xml:space="preserve"> </w:t>
      </w:r>
      <w:r>
        <w:rPr>
          <w:vertAlign w:val="superscript"/>
        </w:rPr>
        <w:footnoteReference w:id="18"/>
      </w:r>
      <w:r>
        <w:t xml:space="preserve"> </w:t>
      </w:r>
      <w:r>
        <w:rPr>
          <w:vertAlign w:val="superscript"/>
        </w:rPr>
        <w:footnoteReference w:id="19"/>
      </w:r>
      <w:r>
        <w:t xml:space="preserve">; el mercado global ya fusionó</w:t>
      </w:r>
      <w:r>
        <w:t xml:space="preserve"> </w:t>
      </w:r>
      <w:r>
        <w:t xml:space="preserve">“</w:t>
      </w:r>
      <w:r>
        <w:t xml:space="preserve">IA legal</w:t>
      </w:r>
      <w:r>
        <w:t xml:space="preserve">”</w:t>
      </w:r>
      <w:r>
        <w:t xml:space="preserve"> </w:t>
      </w:r>
      <w:r>
        <w:t xml:space="preserve">con</w:t>
      </w:r>
      <w:r>
        <w:t xml:space="preserve"> </w:t>
      </w:r>
      <w:r>
        <w:t xml:space="preserve">“</w:t>
      </w:r>
      <w:r>
        <w:t xml:space="preserve">gestión del expediente</w:t>
      </w:r>
      <w:r>
        <w:t xml:space="preserve">”</w:t>
      </w:r>
      <w:r>
        <w:t xml:space="preserve"> </w:t>
      </w:r>
      <w:r>
        <w:t xml:space="preserve">(Clio–vLex, USD 1,000 millones)</w:t>
      </w:r>
      <w:r>
        <w:t xml:space="preserve"> </w:t>
      </w:r>
      <w:r>
        <w:rPr>
          <w:vertAlign w:val="superscript"/>
        </w:rPr>
        <w:footnoteReference w:id="20"/>
      </w:r>
      <w:r>
        <w:t xml:space="preserve">; la verificación de citas es el diferenciador decisivo (tasas de alucinación de 17–34% en los líderes globales)</w:t>
      </w:r>
      <w:r>
        <w:t xml:space="preserve"> </w:t>
      </w:r>
      <w:r>
        <w:rPr>
          <w:vertAlign w:val="superscript"/>
        </w:rPr>
        <w:footnoteReference w:id="21"/>
      </w:r>
      <w:r>
        <w:t xml:space="preserve">; y el cifrado extremo a extremo del expediente, bajo la LFPDPPP 2025 (sanciones de hasta MXN 36 millones), es una ventaja de cumplimiento y no solo de marketing</w:t>
      </w:r>
      <w:r>
        <w:t xml:space="preserve"> </w:t>
      </w:r>
      <w:r>
        <w:rPr>
          <w:vertAlign w:val="superscript"/>
        </w:rPr>
        <w:footnoteReference w:id="22"/>
      </w:r>
      <w:r>
        <w:t xml:space="preserve">.</w:t>
      </w:r>
    </w:p>
    <w:p>
      <w:pPr>
        <w:pStyle w:val="BodyText"/>
      </w:pPr>
      <w:r>
        <w:rPr>
          <w:bCs/>
          <w:b/>
        </w:rPr>
        <w:t xml:space="preserve">La tesis central:</w:t>
      </w:r>
      <w:r>
        <w:t xml:space="preserve"> </w:t>
      </w:r>
      <w:r>
        <w:t xml:space="preserve">el Nivel 0 genera demanda masiva y datos de afinado; el Nivel 1 convierte esa demanda en ingresos recurrentes; el Nivel 2 captura el presupuesto empresarial con soberanía de datos. Y debajo de los tres, el motor destilado + RAG hace que el costo por respuesta sea de centavos —lo que vuelve viable el precio de MXN 149 en OXXO— y que la precisión supere a la de los gigantes en derecho mexicano, que es lo único que importa jurídicamente. Ningún competidor —ni global ni local— opera hoy los tres niveles ni este motor especializado</w:t>
      </w:r>
      <w:r>
        <w:t xml:space="preserve"> </w:t>
      </w:r>
      <w:r>
        <w:rPr>
          <w:vertAlign w:val="superscript"/>
        </w:rPr>
        <w:footnoteReference w:id="23"/>
      </w:r>
      <w:r>
        <w:t xml:space="preserve"> </w:t>
      </w:r>
      <w:r>
        <w:rPr>
          <w:vertAlign w:val="superscript"/>
        </w:rPr>
        <w:footnoteReference w:id="24"/>
      </w:r>
      <w:r>
        <w:t xml:space="preserve"> </w:t>
      </w:r>
      <w:r>
        <w:rPr>
          <w:vertAlign w:val="superscript"/>
        </w:rPr>
        <w:footnoteReference w:id="25"/>
      </w:r>
      <w:r>
        <w:t xml:space="preserve">.</w:t>
      </w:r>
    </w:p>
    <w:p>
      <w:r>
        <w:pict>
          <v:rect style="width:0;height:1.5pt" o:hralign="center" o:hrstd="t" o:hr="t"/>
        </w:pict>
      </w:r>
    </w:p>
    <w:bookmarkEnd w:id="21"/>
    <w:bookmarkStart w:id="27" w:name="X176f8d476dda8ed08636a37eb2270dc235eb68d"/>
    <w:p>
      <w:pPr>
        <w:pStyle w:val="Heading2"/>
      </w:pPr>
      <w:r>
        <w:t xml:space="preserve">2. La lógica de la estructura: un núcleo, tres niveles</w:t>
      </w:r>
    </w:p>
    <w:bookmarkStart w:id="22" w:name="Xfe26eb8caa66e4bbe4c9474daee4943ac86919d"/>
    <w:p>
      <w:pPr>
        <w:pStyle w:val="Heading3"/>
      </w:pPr>
      <w:r>
        <w:t xml:space="preserve">2.1 El núcleo compartido: una sola inversión tecnológica</w:t>
      </w:r>
    </w:p>
    <w:p>
      <w:pPr>
        <w:pStyle w:val="FirstParagraph"/>
      </w:pPr>
      <w:r>
        <w:t xml:space="preserve">La decisión estructural más importante del plan es que</w:t>
      </w:r>
      <w:r>
        <w:t xml:space="preserve"> </w:t>
      </w:r>
      <w:r>
        <w:rPr>
          <w:bCs/>
          <w:b/>
        </w:rPr>
        <w:t xml:space="preserve">no hay tres productos, hay uno</w:t>
      </w:r>
      <w:r>
        <w:t xml:space="preserve">. El mismo motor RAG sobre el corpus oficial mexicano, el mismo modelo destilado, el mismo resolvedor de citas contra registros reales (número de registro digital del SJF, artículo y fecha de reforma en LeyesBiblio, fecha de publicación en el DOF), el mismo subsistema de cifrado de extremo a extremo con llaves del usuario, el mismo pipeline de OCR y análisis documental, el mismo módulo de sellado NOM-151 y el mismo registro de trazabilidad sirven a los tres niveles. Lo que cambia entre niveles es la</w:t>
      </w:r>
      <w:r>
        <w:t xml:space="preserve"> </w:t>
      </w:r>
      <w:r>
        <w:rPr>
          <w:bCs/>
          <w:b/>
        </w:rPr>
        <w:t xml:space="preserve">envoltura</w:t>
      </w:r>
      <w:r>
        <w:t xml:space="preserve">: el canal de venta, el precio, la interfaz, el perímetro de datos y quién responde jurídicamente por el resultado.</w:t>
      </w:r>
    </w:p>
    <w:p>
      <w:pPr>
        <w:pStyle w:val="BodyText"/>
      </w:pPr>
      <w:r>
        <w:t xml:space="preserve">Esta arquitectura tiene tres consecuencias económicas directas. La primera es que el costo fijo más pesado —construir, entrenar y mantener actualizado el motor sobre el corpus mexicano completo, que el propio Thomson Reuters identifica como el principal desafío del país por la velocidad del cambio normativo—</w:t>
      </w:r>
      <w:r>
        <w:t xml:space="preserve"> </w:t>
      </w:r>
      <w:r>
        <w:rPr>
          <w:bCs/>
          <w:b/>
        </w:rPr>
        <w:t xml:space="preserve">se amortiza tres veces</w:t>
      </w:r>
      <w:r>
        <w:t xml:space="preserve"> </w:t>
      </w:r>
      <w:fldSimple w:instr="NOTEREF _Ref_Footnote_23 \h \f">
        <w:r>
          <w:rPr>
            <w:vertAlign w:val="superscript"/>
          </w:rPr>
          <w:t>23</w:t>
        </w:r>
      </w:fldSimple>
      <w:r>
        <w:t xml:space="preserve">. La segunda es que cada nivel retroalimenta a los demás: el Nivel 0 produce pares</w:t>
      </w:r>
      <w:r>
        <w:t xml:space="preserve"> </w:t>
      </w:r>
      <w:r>
        <w:t xml:space="preserve">“</w:t>
      </w:r>
      <w:r>
        <w:t xml:space="preserve">borrador de IA / versión aprobada por abogado</w:t>
      </w:r>
      <w:r>
        <w:t xml:space="preserve">”</w:t>
      </w:r>
      <w:r>
        <w:t xml:space="preserve"> </w:t>
      </w:r>
      <w:r>
        <w:t xml:space="preserve">que son, con consentimiento, el mejor dataset de destilación y afinado del modelo (el mismo activo que hizo fuerte a Álex de Legálitas, construido sobre cinco millones de asesoramientos reales)</w:t>
      </w:r>
      <w:r>
        <w:t xml:space="preserve"> </w:t>
      </w:r>
      <w:r>
        <w:rPr>
          <w:vertAlign w:val="superscript"/>
        </w:rPr>
        <w:footnoteReference w:id="26"/>
      </w:r>
      <w:r>
        <w:t xml:space="preserve">; el Nivel 1 densifica la red de abogados que el Nivel 0 necesita; y el Nivel 2 financia el desarrollo profundo del núcleo con contratos empresariales. La tercera es defensiva: un competidor que ataque un solo nivel enfrenta a un actor cuyo costo marginal por nivel es mucho menor</w:t>
      </w:r>
      <w:r>
        <w:t xml:space="preserve"> </w:t>
      </w:r>
      <w:fldSimple w:instr="NOTEREF _Ref_Footnote_24 \h \f">
        <w:r>
          <w:rPr>
            <w:vertAlign w:val="superscript"/>
          </w:rPr>
          <w:t>24</w:t>
        </w:r>
      </w:fldSimple>
      <w:r>
        <w:t xml:space="preserve"> </w:t>
      </w:r>
      <w:fldSimple w:instr="NOTEREF _Ref_Footnote_23 \h \f">
        <w:r>
          <w:rPr>
            <w:vertAlign w:val="superscript"/>
          </w:rPr>
          <w:t>23</w:t>
        </w:r>
      </w:fldSimple>
      <w:r>
        <w:t xml:space="preserve">.</w:t>
      </w:r>
    </w:p>
    <w:bookmarkEnd w:id="22"/>
    <w:bookmarkStart w:id="26" w:name="mapa-de-los-tres-niveles"/>
    <w:p>
      <w:pPr>
        <w:pStyle w:val="Heading3"/>
      </w:pPr>
      <w:r>
        <w:t xml:space="preserve">2.2 Mapa de los tres niveles</w:t>
      </w:r>
    </w:p>
    <w:p>
      <w:pPr>
        <w:pStyle w:val="FirstParagraph"/>
      </w:pPr>
      <w:r>
        <w:t xml:space="preserve">La tabla siguiente es el esqueleto del plan completo; el resto del documento desarrolla cada fila. Léase así:</w:t>
      </w:r>
      <w:r>
        <w:t xml:space="preserve"> </w:t>
      </w:r>
      <w:r>
        <w:rPr>
          <w:bCs/>
          <w:b/>
        </w:rPr>
        <w:t xml:space="preserve">qué compra cada cliente, cuánto paga, cómo paga, dónde viven sus datos y quién responde por el resultado.</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Dimensión</w:t>
            </w:r>
          </w:p>
        </w:tc>
        <w:tc>
          <w:tcPr/>
          <w:p>
            <w:pPr>
              <w:pStyle w:val="Compact"/>
              <w:jc w:val="left"/>
            </w:pPr>
            <w:r>
              <w:rPr>
                <w:bCs/>
                <w:b/>
              </w:rPr>
              <w:t xml:space="preserve">Nivel 0 — Ciudadano</w:t>
            </w:r>
          </w:p>
        </w:tc>
        <w:tc>
          <w:tcPr/>
          <w:p>
            <w:pPr>
              <w:pStyle w:val="Compact"/>
              <w:jc w:val="left"/>
            </w:pPr>
            <w:r>
              <w:rPr>
                <w:bCs/>
                <w:b/>
              </w:rPr>
              <w:t xml:space="preserve">Nivel 1 — Abogado independiente</w:t>
            </w:r>
          </w:p>
        </w:tc>
        <w:tc>
          <w:tcPr/>
          <w:p>
            <w:pPr>
              <w:pStyle w:val="Compact"/>
              <w:jc w:val="left"/>
            </w:pPr>
            <w:r>
              <w:rPr>
                <w:bCs/>
                <w:b/>
              </w:rPr>
              <w:t xml:space="preserve">Nivel 2 — Gran despacho</w:t>
            </w:r>
          </w:p>
        </w:tc>
      </w:tr>
      <w:tr>
        <w:tc>
          <w:tcPr/>
          <w:p>
            <w:pPr>
              <w:pStyle w:val="Compact"/>
              <w:jc w:val="left"/>
            </w:pPr>
            <w:r>
              <w:t xml:space="preserve">Cliente que paga</w:t>
            </w:r>
          </w:p>
        </w:tc>
        <w:tc>
          <w:tcPr/>
          <w:p>
            <w:pPr>
              <w:pStyle w:val="Compact"/>
              <w:jc w:val="left"/>
            </w:pPr>
            <w:r>
              <w:t xml:space="preserve">Persona o micro/pyme con un problema legal concreto</w:t>
            </w:r>
          </w:p>
        </w:tc>
        <w:tc>
          <w:tcPr/>
          <w:p>
            <w:pPr>
              <w:pStyle w:val="Compact"/>
              <w:jc w:val="left"/>
            </w:pPr>
            <w:r>
              <w:t xml:space="preserve">Abogado solo o despacho pequeño (2–10 personas)</w:t>
            </w:r>
          </w:p>
        </w:tc>
        <w:tc>
          <w:tcPr/>
          <w:p>
            <w:pPr>
              <w:pStyle w:val="Compact"/>
              <w:jc w:val="left"/>
            </w:pPr>
            <w:r>
              <w:t xml:space="preserve">Despachos medianos y grandes, áreas legales corporativas</w:t>
            </w:r>
          </w:p>
        </w:tc>
      </w:tr>
      <w:tr>
        <w:tc>
          <w:tcPr/>
          <w:p>
            <w:pPr>
              <w:pStyle w:val="Compact"/>
              <w:jc w:val="left"/>
            </w:pPr>
            <w:r>
              <w:t xml:space="preserve">Propuesta en una frase</w:t>
            </w:r>
          </w:p>
        </w:tc>
        <w:tc>
          <w:tcPr/>
          <w:p>
            <w:pPr>
              <w:pStyle w:val="Compact"/>
              <w:jc w:val="left"/>
            </w:pPr>
            <w:r>
              <w:t xml:space="preserve">Pregunta respondida por IA</w:t>
            </w:r>
            <w:r>
              <w:t xml:space="preserve"> </w:t>
            </w:r>
            <w:r>
              <w:rPr>
                <w:bCs/>
                <w:b/>
              </w:rPr>
              <w:t xml:space="preserve">y validada por un abogado</w:t>
            </w:r>
            <w:r>
              <w:t xml:space="preserve">, a precio fijo visible</w:t>
            </w:r>
          </w:p>
        </w:tc>
        <w:tc>
          <w:tcPr/>
          <w:p>
            <w:pPr>
              <w:pStyle w:val="Compact"/>
              <w:jc w:val="left"/>
            </w:pPr>
            <w:r>
              <w:t xml:space="preserve">Asistente con citas verificables + expediente cifrado + OCR +</w:t>
            </w:r>
            <w:r>
              <w:t xml:space="preserve"> </w:t>
            </w:r>
            <w:r>
              <w:rPr>
                <w:bCs/>
                <w:b/>
              </w:rPr>
              <w:t xml:space="preserve">clientes derivados</w:t>
            </w:r>
          </w:p>
        </w:tc>
        <w:tc>
          <w:tcPr/>
          <w:p>
            <w:pPr>
              <w:pStyle w:val="Compact"/>
              <w:jc w:val="left"/>
            </w:pPr>
            <w:r>
              <w:t xml:space="preserve">LLM y archivo</w:t>
            </w:r>
            <w:r>
              <w:t xml:space="preserve"> </w:t>
            </w:r>
            <w:r>
              <w:rPr>
                <w:bCs/>
                <w:b/>
              </w:rPr>
              <w:t xml:space="preserve">dentro del despacho</w:t>
            </w:r>
            <w:r>
              <w:t xml:space="preserve">, OCR del acervo, auditoría total</w:t>
            </w:r>
          </w:p>
        </w:tc>
      </w:tr>
      <w:tr>
        <w:tc>
          <w:tcPr/>
          <w:p>
            <w:pPr>
              <w:pStyle w:val="Compact"/>
              <w:jc w:val="left"/>
            </w:pPr>
            <w:r>
              <w:t xml:space="preserve">Precio de referencia</w:t>
            </w:r>
          </w:p>
        </w:tc>
        <w:tc>
          <w:tcPr/>
          <w:p>
            <w:pPr>
              <w:pStyle w:val="Compact"/>
              <w:jc w:val="left"/>
            </w:pPr>
            <w:r>
              <w:t xml:space="preserve">~MXN 149–299 por pregunta (pago único)</w:t>
            </w:r>
          </w:p>
        </w:tc>
        <w:tc>
          <w:tcPr/>
          <w:p>
            <w:pPr>
              <w:pStyle w:val="Compact"/>
              <w:jc w:val="left"/>
            </w:pPr>
            <w:r>
              <w:t xml:space="preserve">~MXN 499/mes por usuario (objetivo)</w:t>
            </w:r>
          </w:p>
        </w:tc>
        <w:tc>
          <w:tcPr/>
          <w:p>
            <w:pPr>
              <w:pStyle w:val="Compact"/>
              <w:jc w:val="left"/>
            </w:pPr>
            <w:r>
              <w:t xml:space="preserve">Licencia anual + instalación + mantenimiento (contrato a medida)</w:t>
            </w:r>
          </w:p>
        </w:tc>
      </w:tr>
      <w:tr>
        <w:tc>
          <w:tcPr/>
          <w:p>
            <w:pPr>
              <w:pStyle w:val="Compact"/>
              <w:jc w:val="left"/>
            </w:pPr>
            <w:r>
              <w:t xml:space="preserve">Modelo de ingreso</w:t>
            </w:r>
          </w:p>
        </w:tc>
        <w:tc>
          <w:tcPr/>
          <w:p>
            <w:pPr>
              <w:pStyle w:val="Compact"/>
              <w:jc w:val="left"/>
            </w:pPr>
            <w:r>
              <w:t xml:space="preserve">Comisión de plataforma 15–25% por consulta</w:t>
            </w:r>
          </w:p>
        </w:tc>
        <w:tc>
          <w:tcPr/>
          <w:p>
            <w:pPr>
              <w:pStyle w:val="Compact"/>
              <w:jc w:val="left"/>
            </w:pPr>
            <w:r>
              <w:t xml:space="preserve">Suscripción SaaS en pesos + comisión por caso derivado</w:t>
            </w:r>
          </w:p>
        </w:tc>
        <w:tc>
          <w:tcPr/>
          <w:p>
            <w:pPr>
              <w:pStyle w:val="Compact"/>
              <w:jc w:val="left"/>
            </w:pPr>
            <w:r>
              <w:t xml:space="preserve">Licencia empresarial anual + servicios de despliegue y soporte</w:t>
            </w:r>
          </w:p>
        </w:tc>
      </w:tr>
      <w:tr>
        <w:tc>
          <w:tcPr/>
          <w:p>
            <w:pPr>
              <w:pStyle w:val="Compact"/>
              <w:jc w:val="left"/>
            </w:pPr>
            <w:r>
              <w:t xml:space="preserve">Canal de pago</w:t>
            </w:r>
          </w:p>
        </w:tc>
        <w:tc>
          <w:tcPr/>
          <w:p>
            <w:pPr>
              <w:pStyle w:val="Compact"/>
              <w:jc w:val="left"/>
            </w:pPr>
            <w:r>
              <w:rPr>
                <w:bCs/>
                <w:b/>
              </w:rPr>
              <w:t xml:space="preserve">OXXO / corresponsales en efectivo</w:t>
            </w:r>
            <w:r>
              <w:t xml:space="preserve">, tarjeta, SPEI</w:t>
            </w:r>
            <w:r>
              <w:t xml:space="preserve"> </w:t>
            </w:r>
            <w:fldSimple w:instr="NOTEREF _Ref_Footnote_11 \h \f">
              <w:r>
                <w:rPr>
                  <w:vertAlign w:val="superscript"/>
                </w:rPr>
                <w:t>11</w:t>
              </w:r>
            </w:fldSimple>
            <w:r>
              <w:t xml:space="preserve"> </w:t>
            </w:r>
            <w:r>
              <w:rPr>
                <w:vertAlign w:val="superscript"/>
              </w:rPr>
              <w:footnoteReference w:id="27"/>
            </w:r>
          </w:p>
        </w:tc>
        <w:tc>
          <w:tcPr/>
          <w:p>
            <w:pPr>
              <w:pStyle w:val="Compact"/>
              <w:jc w:val="left"/>
            </w:pPr>
            <w:r>
              <w:t xml:space="preserve">Tarjeta, SPEI, débito recurrente</w:t>
            </w:r>
          </w:p>
        </w:tc>
        <w:tc>
          <w:tcPr/>
          <w:p>
            <w:pPr>
              <w:pStyle w:val="Compact"/>
              <w:jc w:val="left"/>
            </w:pPr>
            <w:r>
              <w:t xml:space="preserve">Facturación empresarial</w:t>
            </w:r>
          </w:p>
        </w:tc>
      </w:tr>
      <w:tr>
        <w:tc>
          <w:tcPr/>
          <w:p>
            <w:pPr>
              <w:pStyle w:val="Compact"/>
              <w:jc w:val="left"/>
            </w:pPr>
            <w:r>
              <w:t xml:space="preserve">Dónde corren los datos</w:t>
            </w:r>
          </w:p>
        </w:tc>
        <w:tc>
          <w:tcPr/>
          <w:p>
            <w:pPr>
              <w:pStyle w:val="Compact"/>
              <w:jc w:val="left"/>
            </w:pPr>
            <w:r>
              <w:t xml:space="preserve">Nube con cifrado E2E (llaves del usuario)</w:t>
            </w:r>
          </w:p>
        </w:tc>
        <w:tc>
          <w:tcPr/>
          <w:p>
            <w:pPr>
              <w:pStyle w:val="Compact"/>
              <w:jc w:val="left"/>
            </w:pPr>
            <w:r>
              <w:t xml:space="preserve">Nube con cifrado E2E (llaves del abogado)</w:t>
            </w:r>
          </w:p>
        </w:tc>
        <w:tc>
          <w:tcPr/>
          <w:p>
            <w:pPr>
              <w:pStyle w:val="Compact"/>
              <w:jc w:val="left"/>
            </w:pPr>
            <w:r>
              <w:rPr>
                <w:bCs/>
                <w:b/>
              </w:rPr>
              <w:t xml:space="preserve">Infraestructura del cliente (on-premise o VPC privada)</w:t>
            </w:r>
            <w:r>
              <w:t xml:space="preserve"> </w:t>
            </w:r>
            <w:fldSimple w:instr="NOTEREF _Ref_Footnote_15 \h \f">
              <w:r>
                <w:rPr>
                  <w:vertAlign w:val="superscript"/>
                </w:rPr>
                <w:t>15</w:t>
              </w:r>
            </w:fldSimple>
            <w:r>
              <w:t xml:space="preserve"> </w:t>
            </w:r>
            <w:r>
              <w:rPr>
                <w:vertAlign w:val="superscript"/>
              </w:rPr>
              <w:footnoteReference w:id="28"/>
            </w:r>
          </w:p>
        </w:tc>
      </w:tr>
      <w:tr>
        <w:tc>
          <w:tcPr/>
          <w:p>
            <w:pPr>
              <w:pStyle w:val="Compact"/>
              <w:jc w:val="left"/>
            </w:pPr>
            <w:r>
              <w:t xml:space="preserve">Quién responde jurídicamente</w:t>
            </w:r>
          </w:p>
        </w:tc>
        <w:tc>
          <w:tcPr/>
          <w:p>
            <w:pPr>
              <w:pStyle w:val="Compact"/>
              <w:jc w:val="left"/>
            </w:pPr>
            <w:r>
              <w:t xml:space="preserve">El abogado que valida y firma</w:t>
            </w:r>
          </w:p>
        </w:tc>
        <w:tc>
          <w:tcPr/>
          <w:p>
            <w:pPr>
              <w:pStyle w:val="Compact"/>
              <w:jc w:val="left"/>
            </w:pPr>
            <w:r>
              <w:t xml:space="preserve">El propio abogado (herramienta de apoyo)</w:t>
            </w:r>
          </w:p>
        </w:tc>
        <w:tc>
          <w:tcPr/>
          <w:p>
            <w:pPr>
              <w:pStyle w:val="Compact"/>
              <w:jc w:val="left"/>
            </w:pPr>
            <w:r>
              <w:t xml:space="preserve">El despacho (herramienta interna)</w:t>
            </w:r>
          </w:p>
        </w:tc>
      </w:tr>
      <w:tr>
        <w:tc>
          <w:tcPr/>
          <w:p>
            <w:pPr>
              <w:pStyle w:val="Compact"/>
              <w:jc w:val="left"/>
            </w:pPr>
            <w:r>
              <w:t xml:space="preserve">Referente validador</w:t>
            </w:r>
          </w:p>
        </w:tc>
        <w:tc>
          <w:tcPr/>
          <w:p>
            <w:pPr>
              <w:pStyle w:val="Compact"/>
              <w:jc w:val="left"/>
            </w:pPr>
            <w:r>
              <w:t xml:space="preserve">Álex/Legálitas: 1 M de usuarios en un año</w:t>
            </w:r>
            <w:r>
              <w:t xml:space="preserve"> </w:t>
            </w:r>
            <w:fldSimple w:instr="NOTEREF _Ref_Footnote_26 \h \f">
              <w:r>
                <w:rPr>
                  <w:vertAlign w:val="superscript"/>
                </w:rPr>
                <w:t>26</w:t>
              </w:r>
            </w:fldSimple>
          </w:p>
        </w:tc>
        <w:tc>
          <w:tcPr/>
          <w:p>
            <w:pPr>
              <w:pStyle w:val="Compact"/>
              <w:jc w:val="left"/>
            </w:pPr>
            <w:r>
              <w:t xml:space="preserve">CoCounsel (12,200 despachos) a 1/10 del precio</w:t>
            </w:r>
            <w:r>
              <w:t xml:space="preserve"> </w:t>
            </w:r>
            <w:r>
              <w:rPr>
                <w:vertAlign w:val="superscript"/>
              </w:rPr>
              <w:footnoteReference w:id="29"/>
            </w:r>
          </w:p>
        </w:tc>
        <w:tc>
          <w:tcPr/>
          <w:p>
            <w:pPr>
              <w:pStyle w:val="Compact"/>
              <w:jc w:val="left"/>
            </w:pPr>
            <w:r>
              <w:t xml:space="preserve">Harvey dedicado, nodos on-premise de IA legal</w:t>
            </w:r>
            <w:r>
              <w:t xml:space="preserve"> </w:t>
            </w:r>
            <w:r>
              <w:rPr>
                <w:vertAlign w:val="superscript"/>
              </w:rPr>
              <w:footnoteReference w:id="30"/>
            </w:r>
            <w:r>
              <w:t xml:space="preserve"> </w:t>
            </w:r>
            <w:r>
              <w:rPr>
                <w:vertAlign w:val="superscript"/>
              </w:rPr>
              <w:footnoteReference w:id="31"/>
            </w:r>
          </w:p>
        </w:tc>
      </w:tr>
      <w:tr>
        <w:tc>
          <w:tcPr/>
          <w:p>
            <w:pPr>
              <w:pStyle w:val="Compact"/>
              <w:jc w:val="left"/>
            </w:pPr>
            <w:r>
              <w:t xml:space="preserve">Competidor más cercano</w:t>
            </w:r>
          </w:p>
        </w:tc>
        <w:tc>
          <w:tcPr/>
          <w:p>
            <w:pPr>
              <w:pStyle w:val="Compact"/>
              <w:jc w:val="left"/>
            </w:pPr>
            <w:r>
              <w:t xml:space="preserve">JustAnswer / Profi.mx (sin IA ni citas)</w:t>
            </w:r>
            <w:r>
              <w:t xml:space="preserve"> </w:t>
            </w:r>
            <w:r>
              <w:rPr>
                <w:vertAlign w:val="superscript"/>
              </w:rPr>
              <w:footnoteReference w:id="32"/>
            </w:r>
          </w:p>
        </w:tc>
        <w:tc>
          <w:tcPr/>
          <w:p>
            <w:pPr>
              <w:pStyle w:val="Compact"/>
              <w:jc w:val="left"/>
            </w:pPr>
            <w:r>
              <w:t xml:space="preserve">Lexfania, LexIDE (sin marketplace ni cifrado E2E)</w:t>
            </w:r>
            <w:r>
              <w:t xml:space="preserve"> </w:t>
            </w:r>
            <w:fldSimple w:instr="NOTEREF _Ref_Footnote_24 \h \f">
              <w:r>
                <w:rPr>
                  <w:vertAlign w:val="superscript"/>
                </w:rPr>
                <w:t>24</w:t>
              </w:r>
            </w:fldSimple>
            <w:r>
              <w:t xml:space="preserve"> </w:t>
            </w:r>
            <w:fldSimple w:instr="NOTEREF _Ref_Footnote_25 \h \f">
              <w:r>
                <w:rPr>
                  <w:vertAlign w:val="superscript"/>
                </w:rPr>
                <w:t>25</w:t>
              </w:r>
            </w:fldSimple>
          </w:p>
        </w:tc>
        <w:tc>
          <w:tcPr/>
          <w:p>
            <w:pPr>
              <w:pStyle w:val="Compact"/>
              <w:jc w:val="left"/>
            </w:pPr>
            <w:r>
              <w:t xml:space="preserve">CoCounsel Core México, Harvey (nube, precios en USD)</w:t>
            </w:r>
            <w:r>
              <w:t xml:space="preserve"> </w:t>
            </w:r>
            <w:fldSimple w:instr="NOTEREF _Ref_Footnote_23 \h \f">
              <w:r>
                <w:rPr>
                  <w:vertAlign w:val="superscript"/>
                </w:rPr>
                <w:t>23</w:t>
              </w:r>
            </w:fldSimple>
          </w:p>
        </w:tc>
      </w:tr>
    </w:tbl>
    <w:p>
      <w:pPr>
        <w:pStyle w:val="CaptionedFigure"/>
      </w:pPr>
      <w:r>
        <w:drawing>
          <wp:inline>
            <wp:extent cx="5334000" cy="3044303"/>
            <wp:effectExtent b="0" l="0" r="0" t="0"/>
            <wp:docPr descr="Arquitectura de un núcleo y tres niveles" title="" id="24" name="Picture"/>
            <a:graphic>
              <a:graphicData uri="http://schemas.openxmlformats.org/drawingml/2006/picture">
                <pic:pic>
                  <pic:nvPicPr>
                    <pic:cNvPr descr="assets/fig2_arquitectura.png" id="25" name="Picture"/>
                    <pic:cNvPicPr>
                      <a:picLocks noChangeArrowheads="1" noChangeAspect="1"/>
                    </pic:cNvPicPr>
                  </pic:nvPicPr>
                  <pic:blipFill>
                    <a:blip r:embed="rId23"/>
                    <a:stretch>
                      <a:fillRect/>
                    </a:stretch>
                  </pic:blipFill>
                  <pic:spPr bwMode="auto">
                    <a:xfrm>
                      <a:off x="0" y="0"/>
                      <a:ext cx="5334000" cy="3044303"/>
                    </a:xfrm>
                    <a:prstGeom prst="rect">
                      <a:avLst/>
                    </a:prstGeom>
                    <a:noFill/>
                    <a:ln w="9525">
                      <a:noFill/>
                      <a:headEnd/>
                      <a:tailEnd/>
                    </a:ln>
                  </pic:spPr>
                </pic:pic>
              </a:graphicData>
            </a:graphic>
          </wp:inline>
        </w:drawing>
      </w:r>
    </w:p>
    <w:p>
      <w:pPr>
        <w:pStyle w:val="ImageCaption"/>
      </w:pPr>
      <w:r>
        <w:t xml:space="preserve">Arquitectura de un núcleo y tres niveles</w:t>
      </w:r>
    </w:p>
    <w:p>
      <w:pPr>
        <w:pStyle w:val="BodyText"/>
      </w:pPr>
      <w:r>
        <w:t xml:space="preserve">Los niveles no son compartimentos estancos sino un</w:t>
      </w:r>
      <w:r>
        <w:t xml:space="preserve"> </w:t>
      </w:r>
      <w:r>
        <w:rPr>
          <w:bCs/>
          <w:b/>
        </w:rPr>
        <w:t xml:space="preserve">embudo de valor ascendente</w:t>
      </w:r>
      <w:r>
        <w:t xml:space="preserve">. El ciudadano del Nivel 0 que necesita más que una orientación escala a un abogado del Nivel 1 (chat en vivo, expediente compartido, contratación); el abogado del Nivel 1 que crece se convierte en candidato al Nivel 2; y el despacho del Nivel 2 puede operar como validador premium dentro del marketplace. Esta circularidad es la que convierte al plan en una plataforma y no en una colección de productos.</w:t>
      </w:r>
    </w:p>
    <w:p>
      <w:r>
        <w:pict>
          <v:rect style="width:0;height:1.5pt" o:hralign="center" o:hrstd="t" o:hr="t"/>
        </w:pict>
      </w:r>
    </w:p>
    <w:bookmarkEnd w:id="26"/>
    <w:bookmarkEnd w:id="27"/>
    <w:bookmarkStart w:id="35" w:name="Xcceb7deebfb533ae510aed1424f600bd013856d"/>
    <w:p>
      <w:pPr>
        <w:pStyle w:val="Heading2"/>
      </w:pPr>
      <w:r>
        <w:t xml:space="preserve">3. Nivel 0 — El ciudadano: la pregunta pagada hasta en OXXO</w:t>
      </w:r>
    </w:p>
    <w:bookmarkStart w:id="31" w:name="Xacc3bc48247efa1eab57f6ee99aab9a8e7b0075"/>
    <w:p>
      <w:pPr>
        <w:pStyle w:val="Heading3"/>
      </w:pPr>
      <w:r>
        <w:t xml:space="preserve">3.1 Por qué el efectivo es estratégico y no anecdótico</w:t>
      </w:r>
    </w:p>
    <w:p>
      <w:pPr>
        <w:pStyle w:val="FirstParagraph"/>
      </w:pPr>
      <w:r>
        <w:t xml:space="preserve">El dato que ordena todo el diseño del Nivel 0 es la persistencia del efectivo en la economía mexicana. Según la ENIF 2024 (INEGI/CNBV),</w:t>
      </w:r>
      <w:r>
        <w:t xml:space="preserve"> </w:t>
      </w:r>
      <w:r>
        <w:rPr>
          <w:bCs/>
          <w:b/>
        </w:rPr>
        <w:t xml:space="preserve">85.2% de los adultos usa efectivo como medio de pago frecuente en compras de hasta 500 pesos</w:t>
      </w:r>
      <w:r>
        <w:t xml:space="preserve"> </w:t>
      </w:r>
      <w:r>
        <w:t xml:space="preserve">—exactamente el rango de precio de una consulta jurídica breve— y 73.5% lo usa incluso en compras mayores a 500 pesos</w:t>
      </w:r>
      <w:r>
        <w:t xml:space="preserve"> </w:t>
      </w:r>
      <w:r>
        <w:rPr>
          <w:vertAlign w:val="superscript"/>
        </w:rPr>
        <w:footnoteReference w:id="33"/>
      </w:r>
      <w:r>
        <w:t xml:space="preserve"> </w:t>
      </w:r>
      <w:r>
        <w:rPr>
          <w:vertAlign w:val="superscript"/>
        </w:rPr>
        <w:footnoteReference w:id="34"/>
      </w:r>
      <w:r>
        <w:t xml:space="preserve">. Aunque 76.5% de la población adulta ya tiene algún producto financiero formal, prácticamente</w:t>
      </w:r>
      <w:r>
        <w:t xml:space="preserve"> </w:t>
      </w:r>
      <w:r>
        <w:rPr>
          <w:bCs/>
          <w:b/>
        </w:rPr>
        <w:t xml:space="preserve">uno de cada cuatro mexicanos de 18 a 70 años no tiene ninguna cuenta</w:t>
      </w:r>
      <w:r>
        <w:t xml:space="preserve">, y 56.5% de los usuarios financieros ya opera con corresponsales en establecimientos comerciales</w:t>
      </w:r>
      <w:r>
        <w:t xml:space="preserve"> </w:t>
      </w:r>
      <w:r>
        <w:rPr>
          <w:vertAlign w:val="superscript"/>
        </w:rPr>
        <w:footnoteReference w:id="35"/>
      </w:r>
      <w:r>
        <w:t xml:space="preserve"> </w:t>
      </w:r>
      <w:fldSimple w:instr="NOTEREF _Ref_Footnote_33 \h \f">
        <w:r>
          <w:rPr>
            <w:vertAlign w:val="superscript"/>
          </w:rPr>
          <w:t>33</w:t>
        </w:r>
      </w:fldSimple>
      <w:r>
        <w:t xml:space="preserve"> </w:t>
      </w:r>
      <w:fldSimple w:instr="NOTEREF _Ref_Footnote_9 \h \f">
        <w:r>
          <w:rPr>
            <w:vertAlign w:val="superscript"/>
          </w:rPr>
          <w:t>9</w:t>
        </w:r>
      </w:fldSimple>
      <w:r>
        <w:t xml:space="preserve">. En localidades rurales la situación es más extrema: 94% paga en efectivo sus compras de bajo monto y 23% reporta que</w:t>
      </w:r>
      <w:r>
        <w:t xml:space="preserve"> </w:t>
      </w:r>
      <w:r>
        <w:rPr>
          <w:bCs/>
          <w:b/>
        </w:rPr>
        <w:t xml:space="preserve">ningún</w:t>
      </w:r>
      <w:r>
        <w:t xml:space="preserve"> </w:t>
      </w:r>
      <w:r>
        <w:t xml:space="preserve">establecimiento que frecuenta acepta tarjeta</w:t>
      </w:r>
      <w:r>
        <w:t xml:space="preserve"> </w:t>
      </w:r>
      <w:fldSimple w:instr="NOTEREF _Ref_Footnote_34 \h \f">
        <w:r>
          <w:rPr>
            <w:vertAlign w:val="superscript"/>
          </w:rPr>
          <w:t>34</w:t>
        </w:r>
      </w:fldSimple>
      <w:r>
        <w:t xml:space="preserve">.</w:t>
      </w:r>
    </w:p>
    <w:p>
      <w:pPr>
        <w:pStyle w:val="BodyText"/>
      </w:pPr>
      <w:r>
        <w:t xml:space="preserve">Frente a esa realidad, la infraestructura física de cobro ya existe y es masiva: OXXO operaba</w:t>
      </w:r>
      <w:r>
        <w:t xml:space="preserve"> </w:t>
      </w:r>
      <w:r>
        <w:rPr>
          <w:bCs/>
          <w:b/>
        </w:rPr>
        <w:t xml:space="preserve">23,206 tiendas en México al cierre de 2024</w:t>
      </w:r>
      <w:r>
        <w:t xml:space="preserve"> </w:t>
      </w:r>
      <w:r>
        <w:t xml:space="preserve">(24,462 en toda la división Proximidad Américas, cifra que subió a</w:t>
      </w:r>
      <w:r>
        <w:t xml:space="preserve"> </w:t>
      </w:r>
      <w:r>
        <w:rPr>
          <w:bCs/>
          <w:b/>
        </w:rPr>
        <w:t xml:space="preserve">25,587 al cierre de 2025</w:t>
      </w:r>
      <w:r>
        <w:t xml:space="preserve"> </w:t>
      </w:r>
      <w:r>
        <w:t xml:space="preserve">tras 1,125 aperturas netas en el año)</w:t>
      </w:r>
      <w:r>
        <w:t xml:space="preserve"> </w:t>
      </w:r>
      <w:fldSimple w:instr="NOTEREF _Ref_Footnote_10 \h \f">
        <w:r>
          <w:rPr>
            <w:vertAlign w:val="superscript"/>
          </w:rPr>
          <w:t>10</w:t>
        </w:r>
      </w:fldSimple>
      <w:r>
        <w:t xml:space="preserve"> </w:t>
      </w:r>
      <w:fldSimple w:instr="NOTEREF _Ref_Footnote_9 \h \f">
        <w:r>
          <w:rPr>
            <w:vertAlign w:val="superscript"/>
          </w:rPr>
          <w:t>9</w:t>
        </w:r>
      </w:fldSimple>
      <w:r>
        <w:t xml:space="preserve">. Más de 80% de los mexicanos tiene una tienda a menos de diez minutos y su ecosistema digital Spin ronda los 10 millones de usuarios activos</w:t>
      </w:r>
      <w:r>
        <w:t xml:space="preserve"> </w:t>
      </w:r>
      <w:r>
        <w:rPr>
          <w:vertAlign w:val="superscript"/>
        </w:rPr>
        <w:footnoteReference w:id="36"/>
      </w:r>
      <w:r>
        <w:t xml:space="preserve"> </w:t>
      </w:r>
      <w:fldSimple w:instr="NOTEREF _Ref_Footnote_3 \h \f">
        <w:r>
          <w:rPr>
            <w:vertAlign w:val="superscript"/>
          </w:rPr>
          <w:t>3</w:t>
        </w:r>
      </w:fldSimple>
      <w:r>
        <w:t xml:space="preserve">. Para una persona sin tarjeta, sin cuenta o simplemente desconfiada de cargos en línea —cerca de 40% de la población considera que su dinero no estaría seguro en una institución financiera—</w:t>
      </w:r>
      <w:r>
        <w:t xml:space="preserve"> </w:t>
      </w:r>
      <w:r>
        <w:rPr>
          <w:bCs/>
          <w:b/>
        </w:rPr>
        <w:t xml:space="preserve">poder pagar una consulta legal en el OXXO de la esquina es la diferencia entre comprar y no comprar</w:t>
      </w:r>
      <w:r>
        <w:t xml:space="preserve"> </w:t>
      </w:r>
      <w:fldSimple w:instr="NOTEREF _Ref_Footnote_35 \h \f">
        <w:r>
          <w:rPr>
            <w:vertAlign w:val="superscript"/>
          </w:rPr>
          <w:t>35</w:t>
        </w:r>
      </w:fldSimple>
      <w:r>
        <w:t xml:space="preserve">.</w:t>
      </w:r>
    </w:p>
    <w:p>
      <w:pPr>
        <w:pStyle w:val="BodyText"/>
      </w:pPr>
      <w:r>
        <w:t xml:space="preserve">La demanda subyacente es enorme y está medida: el World Justice Project encontró que</w:t>
      </w:r>
      <w:r>
        <w:t xml:space="preserve"> </w:t>
      </w:r>
      <w:r>
        <w:rPr>
          <w:bCs/>
          <w:b/>
        </w:rPr>
        <w:t xml:space="preserve">49% de los mexicanos experimentó un problema legal en los últimos dos años</w:t>
      </w:r>
      <w:r>
        <w:t xml:space="preserve"> </w:t>
      </w:r>
      <w:r>
        <w:t xml:space="preserve">(los más frecuentes: consumo, 25%, y vivienda, 20%), pero</w:t>
      </w:r>
      <w:r>
        <w:t xml:space="preserve"> </w:t>
      </w:r>
      <w:r>
        <w:rPr>
          <w:bCs/>
          <w:b/>
        </w:rPr>
        <w:t xml:space="preserve">solo 23% de quienes tuvieron un problema buscó asesoría o representación legal</w:t>
      </w:r>
      <w:r>
        <w:t xml:space="preserve"> </w:t>
      </w:r>
      <w:fldSimple w:instr="NOTEREF _Ref_Footnote_12 \h \f">
        <w:r>
          <w:rPr>
            <w:vertAlign w:val="superscript"/>
          </w:rPr>
          <w:t>12</w:t>
        </w:r>
      </w:fldSimple>
      <w:r>
        <w:t xml:space="preserve">. En el agregado iberoamericano, 44% de las personas con problemas de justicia carece de acceso a asistencia adecuada</w:t>
      </w:r>
      <w:r>
        <w:t xml:space="preserve"> </w:t>
      </w:r>
      <w:r>
        <w:rPr>
          <w:vertAlign w:val="superscript"/>
        </w:rPr>
        <w:footnoteReference w:id="37"/>
      </w:r>
      <w:r>
        <w:t xml:space="preserve">. Las causas documentadas son de precio (un abogado tradicional cobra MXN 1,500–3,000 por hora; una consulta presencial en CDMX, MXN 1,200–5,000), de lenguaje, de horarios y de desconfianza</w:t>
      </w:r>
      <w:r>
        <w:t xml:space="preserve"> </w:t>
      </w:r>
      <w:r>
        <w:rPr>
          <w:vertAlign w:val="superscript"/>
        </w:rPr>
        <w:footnoteReference w:id="38"/>
      </w:r>
      <w:r>
        <w:t xml:space="preserve"> </w:t>
      </w:r>
      <w:r>
        <w:rPr>
          <w:vertAlign w:val="superscript"/>
        </w:rPr>
        <w:footnoteReference w:id="39"/>
      </w:r>
      <w:r>
        <w:t xml:space="preserve"> </w:t>
      </w:r>
      <w:fldSimple w:instr="NOTEREF _Ref_Footnote_32 \h \f">
        <w:r>
          <w:rPr>
            <w:vertAlign w:val="superscript"/>
          </w:rPr>
          <w:t>32</w:t>
        </w:r>
      </w:fldSimple>
      <w:r>
        <w:t xml:space="preserve">. Un servicio de pregunta única a MXN 149–299, pagable en efectivo, con respuesta validada por un abogado real, ataca directamente las cuatro causas.</w:t>
      </w:r>
    </w:p>
    <w:p>
      <w:pPr>
        <w:pStyle w:val="CaptionedFigure"/>
      </w:pPr>
      <w:r>
        <w:drawing>
          <wp:inline>
            <wp:extent cx="5334000" cy="2880360"/>
            <wp:effectExtent b="0" l="0" r="0" t="0"/>
            <wp:docPr descr="Embudo de la brecha de acceso a la justicia en México" title="" id="29" name="Picture"/>
            <a:graphic>
              <a:graphicData uri="http://schemas.openxmlformats.org/drawingml/2006/picture">
                <pic:pic>
                  <pic:nvPicPr>
                    <pic:cNvPr descr="assets/fig1_brecha_justicia.png" id="30" name="Picture"/>
                    <pic:cNvPicPr>
                      <a:picLocks noChangeArrowheads="1" noChangeAspect="1"/>
                    </pic:cNvPicPr>
                  </pic:nvPicPr>
                  <pic:blipFill>
                    <a:blip r:embed="rId28"/>
                    <a:stretch>
                      <a:fillRect/>
                    </a:stretch>
                  </pic:blipFill>
                  <pic:spPr bwMode="auto">
                    <a:xfrm>
                      <a:off x="0" y="0"/>
                      <a:ext cx="5334000" cy="2880360"/>
                    </a:xfrm>
                    <a:prstGeom prst="rect">
                      <a:avLst/>
                    </a:prstGeom>
                    <a:noFill/>
                    <a:ln w="9525">
                      <a:noFill/>
                      <a:headEnd/>
                      <a:tailEnd/>
                    </a:ln>
                  </pic:spPr>
                </pic:pic>
              </a:graphicData>
            </a:graphic>
          </wp:inline>
        </w:drawing>
      </w:r>
    </w:p>
    <w:p>
      <w:pPr>
        <w:pStyle w:val="ImageCaption"/>
      </w:pPr>
      <w:r>
        <w:t xml:space="preserve">Embudo de la brecha de acceso a la justicia en México</w:t>
      </w:r>
    </w:p>
    <w:bookmarkEnd w:id="31"/>
    <w:bookmarkStart w:id="32" w:name="X9959c735bdc7b1a08604ab1c698acbeb7025eb3"/>
    <w:p>
      <w:pPr>
        <w:pStyle w:val="Heading3"/>
      </w:pPr>
      <w:r>
        <w:t xml:space="preserve">3.2 La mecánica del cobro en efectivo: viable, barata y ya resuelta</w:t>
      </w:r>
    </w:p>
    <w:p>
      <w:pPr>
        <w:pStyle w:val="FirstParagraph"/>
      </w:pPr>
      <w:r>
        <w:t xml:space="preserve">Cobrar en tiendas de conveniencia no requiere construir nada propio: los agregadores de pago mexicanos ya lo ofrecen como producto estándar. Con</w:t>
      </w:r>
      <w:r>
        <w:t xml:space="preserve"> </w:t>
      </w:r>
      <w:r>
        <w:rPr>
          <w:bCs/>
          <w:b/>
        </w:rPr>
        <w:t xml:space="preserve">Conekta Efectivo</w:t>
      </w:r>
      <w:r>
        <w:t xml:space="preserve">, la plataforma genera una referencia que el cliente paga en más de</w:t>
      </w:r>
      <w:r>
        <w:t xml:space="preserve"> </w:t>
      </w:r>
      <w:r>
        <w:rPr>
          <w:bCs/>
          <w:b/>
        </w:rPr>
        <w:t xml:space="preserve">19,000 puntos</w:t>
      </w:r>
      <w:r>
        <w:t xml:space="preserve"> </w:t>
      </w:r>
      <w:r>
        <w:t xml:space="preserve">(OXXO y otras cadenas, farmacias, supermercados y practicajas BBVA); el monto por transacción puede ir de</w:t>
      </w:r>
      <w:r>
        <w:t xml:space="preserve"> </w:t>
      </w:r>
      <w:r>
        <w:rPr>
          <w:bCs/>
          <w:b/>
        </w:rPr>
        <w:t xml:space="preserve">MXN 10 a MXN 35,000</w:t>
      </w:r>
      <w:r>
        <w:t xml:space="preserve">, la comisión para el comercio es de</w:t>
      </w:r>
      <w:r>
        <w:t xml:space="preserve"> </w:t>
      </w:r>
      <w:r>
        <w:rPr>
          <w:bCs/>
          <w:b/>
        </w:rPr>
        <w:t xml:space="preserve">2.6% + MXN 3 + IVA</w:t>
      </w:r>
      <w:r>
        <w:t xml:space="preserve"> </w:t>
      </w:r>
      <w:r>
        <w:t xml:space="preserve">(comisión mínima de MXN 5.4), y el cliente puede pagar una comisión en caja de MXN 10–13 según la cadena</w:t>
      </w:r>
      <w:r>
        <w:t xml:space="preserve"> </w:t>
      </w:r>
      <w:fldSimple w:instr="NOTEREF _Ref_Footnote_11 \h \f">
        <w:r>
          <w:rPr>
            <w:vertAlign w:val="superscript"/>
          </w:rPr>
          <w:t>11</w:t>
        </w:r>
      </w:fldSimple>
      <w:r>
        <w:t xml:space="preserve"> </w:t>
      </w:r>
      <w:fldSimple w:instr="NOTEREF _Ref_Footnote_27 \h \f">
        <w:r>
          <w:rPr>
            <w:vertAlign w:val="superscript"/>
          </w:rPr>
          <w:t>27</w:t>
        </w:r>
      </w:fldSimple>
      <w:r>
        <w:t xml:space="preserve">. La dispersión al comercio se realiza semanalmente y, si la referencia expira sin pago, simplemente se genera una nueva</w:t>
      </w:r>
      <w:r>
        <w:t xml:space="preserve"> </w:t>
      </w:r>
      <w:fldSimple w:instr="NOTEREF _Ref_Footnote_11 \h \f">
        <w:r>
          <w:rPr>
            <w:vertAlign w:val="superscript"/>
          </w:rPr>
          <w:t>11</w:t>
        </w:r>
      </w:fldSimple>
      <w:r>
        <w:t xml:space="preserve">. Para pagos con tarjeta el mismo agregador cobra 3.4% + MXN 3, y para transferencia SPEI, MXN 12.50 por transacción</w:t>
      </w:r>
      <w:r>
        <w:t xml:space="preserve"> </w:t>
      </w:r>
      <w:fldSimple w:instr="NOTEREF _Ref_Footnote_27 \h \f">
        <w:r>
          <w:rPr>
            <w:vertAlign w:val="superscript"/>
          </w:rPr>
          <w:t>27</w:t>
        </w:r>
      </w:fldSimple>
      <w:r>
        <w:t xml:space="preserve">.</w:t>
      </w:r>
    </w:p>
    <w:p>
      <w:pPr>
        <w:pStyle w:val="BodyText"/>
      </w:pPr>
      <w:r>
        <w:t xml:space="preserve">Estos números permiten cerrar la economía unitaria del Nivel 0 con precisión. La tabla siguiente muestra el desglose de una</w:t>
      </w:r>
      <w:r>
        <w:t xml:space="preserve"> </w:t>
      </w:r>
      <w:r>
        <w:rPr>
          <w:bCs/>
          <w:b/>
        </w:rPr>
        <w:t xml:space="preserve">pregunta de MXN 149</w:t>
      </w:r>
      <w:r>
        <w:t xml:space="preserve"> </w:t>
      </w:r>
      <w:r>
        <w:t xml:space="preserve">pagada en OXXO y de una consulta estándar de</w:t>
      </w:r>
      <w:r>
        <w:t xml:space="preserve"> </w:t>
      </w:r>
      <w:r>
        <w:rPr>
          <w:bCs/>
          <w:b/>
        </w:rPr>
        <w:t xml:space="preserve">MXN 299</w:t>
      </w:r>
      <w:r>
        <w:t xml:space="preserve">, con la comisión de plataforma del 20% para el abogado validador ya contemplada (IVA omitido por simplicidad):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Concepto</w:t>
            </w:r>
          </w:p>
        </w:tc>
        <w:tc>
          <w:tcPr/>
          <w:p>
            <w:pPr>
              <w:pStyle w:val="Compact"/>
              <w:jc w:val="left"/>
            </w:pPr>
            <w:r>
              <w:t xml:space="preserve">Pregunta básica (MXN 149)</w:t>
            </w:r>
          </w:p>
        </w:tc>
        <w:tc>
          <w:tcPr/>
          <w:p>
            <w:pPr>
              <w:pStyle w:val="Compact"/>
              <w:jc w:val="left"/>
            </w:pPr>
            <w:r>
              <w:t xml:space="preserve">Consulta estándar (MXN 299)</w:t>
            </w:r>
          </w:p>
        </w:tc>
      </w:tr>
      <w:tr>
        <w:tc>
          <w:tcPr/>
          <w:p>
            <w:pPr>
              <w:pStyle w:val="Compact"/>
              <w:jc w:val="left"/>
            </w:pPr>
            <w:r>
              <w:t xml:space="preserve">Precio al cliente</w:t>
            </w:r>
          </w:p>
        </w:tc>
        <w:tc>
          <w:tcPr/>
          <w:p>
            <w:pPr>
              <w:pStyle w:val="Compact"/>
              <w:jc w:val="left"/>
            </w:pPr>
            <w:r>
              <w:t xml:space="preserve">$149 (+ $10–13 en caja que cobra la tienda)</w:t>
            </w:r>
          </w:p>
        </w:tc>
        <w:tc>
          <w:tcPr/>
          <w:p>
            <w:pPr>
              <w:pStyle w:val="Compact"/>
              <w:jc w:val="left"/>
            </w:pPr>
            <w:r>
              <w:t xml:space="preserve">$299 (+ $10–13 en caja)</w:t>
            </w:r>
          </w:p>
        </w:tc>
      </w:tr>
      <w:tr>
        <w:tc>
          <w:tcPr/>
          <w:p>
            <w:pPr>
              <w:pStyle w:val="Compact"/>
              <w:jc w:val="left"/>
            </w:pPr>
            <w:r>
              <w:t xml:space="preserve">Comisión del agregador por efectivo (2.6% + $3)</w:t>
            </w:r>
          </w:p>
        </w:tc>
        <w:tc>
          <w:tcPr/>
          <w:p>
            <w:pPr>
              <w:pStyle w:val="Compact"/>
              <w:jc w:val="left"/>
            </w:pPr>
            <w:r>
              <w:t xml:space="preserve">≈ $6.9</w:t>
            </w:r>
          </w:p>
        </w:tc>
        <w:tc>
          <w:tcPr/>
          <w:p>
            <w:pPr>
              <w:pStyle w:val="Compact"/>
              <w:jc w:val="left"/>
            </w:pPr>
            <w:r>
              <w:t xml:space="preserve">≈ $10.8</w:t>
            </w:r>
          </w:p>
        </w:tc>
      </w:tr>
      <w:tr>
        <w:tc>
          <w:tcPr/>
          <w:p>
            <w:pPr>
              <w:pStyle w:val="Compact"/>
              <w:jc w:val="left"/>
            </w:pPr>
            <w:r>
              <w:t xml:space="preserve">Costo de inferencia IA (modelo destilado propio: borrador + resumen)</w:t>
            </w:r>
          </w:p>
        </w:tc>
        <w:tc>
          <w:tcPr/>
          <w:p>
            <w:pPr>
              <w:pStyle w:val="Compact"/>
              <w:jc w:val="left"/>
            </w:pPr>
            <w:r>
              <w:t xml:space="preserve">≈ $1–3</w:t>
            </w:r>
          </w:p>
        </w:tc>
        <w:tc>
          <w:tcPr/>
          <w:p>
            <w:pPr>
              <w:pStyle w:val="Compact"/>
              <w:jc w:val="left"/>
            </w:pPr>
            <w:r>
              <w:t xml:space="preserve">≈ $1–3</w:t>
            </w:r>
          </w:p>
        </w:tc>
      </w:tr>
      <w:tr>
        <w:tc>
          <w:tcPr/>
          <w:p>
            <w:pPr>
              <w:pStyle w:val="Compact"/>
              <w:jc w:val="left"/>
            </w:pPr>
            <w:r>
              <w:t xml:space="preserve">Honorario del abogado validador (~55–65%)</w:t>
            </w:r>
          </w:p>
        </w:tc>
        <w:tc>
          <w:tcPr/>
          <w:p>
            <w:pPr>
              <w:pStyle w:val="Compact"/>
              <w:jc w:val="left"/>
            </w:pPr>
            <w:r>
              <w:t xml:space="preserve">≈ $85–95</w:t>
            </w:r>
          </w:p>
        </w:tc>
        <w:tc>
          <w:tcPr/>
          <w:p>
            <w:pPr>
              <w:pStyle w:val="Compact"/>
              <w:jc w:val="left"/>
            </w:pPr>
            <w:r>
              <w:t xml:space="preserve">≈ $175–195</w:t>
            </w:r>
          </w:p>
        </w:tc>
      </w:tr>
      <w:tr>
        <w:tc>
          <w:tcPr/>
          <w:p>
            <w:pPr>
              <w:pStyle w:val="Compact"/>
              <w:jc w:val="left"/>
            </w:pPr>
            <w:r>
              <w:rPr>
                <w:bCs/>
                <w:b/>
              </w:rPr>
              <w:t xml:space="preserve">Margen bruto de plataforma</w:t>
            </w:r>
          </w:p>
        </w:tc>
        <w:tc>
          <w:tcPr/>
          <w:p>
            <w:pPr>
              <w:pStyle w:val="Compact"/>
              <w:jc w:val="left"/>
            </w:pPr>
            <w:r>
              <w:rPr>
                <w:bCs/>
                <w:b/>
              </w:rPr>
              <w:t xml:space="preserve">≈ $45–55 (30–37%)</w:t>
            </w:r>
          </w:p>
        </w:tc>
        <w:tc>
          <w:tcPr/>
          <w:p>
            <w:pPr>
              <w:pStyle w:val="Compact"/>
              <w:jc w:val="left"/>
            </w:pPr>
            <w:r>
              <w:rPr>
                <w:bCs/>
                <w:b/>
              </w:rPr>
              <w:t xml:space="preserve">≈ $90–110 (30–37%)</w:t>
            </w:r>
          </w:p>
        </w:tc>
      </w:tr>
    </w:tbl>
    <w:p>
      <w:pPr>
        <w:pStyle w:val="BodyText"/>
      </w:pPr>
      <w:r>
        <w:t xml:space="preserve">Nótese el renglón del costo de IA: al correr un</w:t>
      </w:r>
      <w:r>
        <w:t xml:space="preserve"> </w:t>
      </w:r>
      <w:r>
        <w:rPr>
          <w:bCs/>
          <w:b/>
        </w:rPr>
        <w:t xml:space="preserve">modelo destilado propio de 7B–32B parámetros</w:t>
      </w:r>
      <w:r>
        <w:t xml:space="preserve"> </w:t>
      </w:r>
      <w:r>
        <w:t xml:space="preserve">en lugar de pagar API de un modelo frontera, el costo de inferencia por consulta cae a centavos de peso (sección 7.6), lo que hace viable el precio de MXN 149 con margen sano. El tiempo que el abogado invierte en validar una respuesta prearmada —con las citas ya verificadas contra fuentes oficiales y un resumen estructurado del caso— es de minutos, no de la hora que cobraría por una consulta tradicional: ahí reside la posibilidad de ofrecer MXN 149 y que aun así le resulte rentable (5–10 consultas validadas en el tiempo de una tradicional). Es coherente con los precios de micro-asesoría ya observados en marketplaces mexicanos (casos públicos de MXN 350–1,200 en Profi.mx) y con el rango de asesoría en línea documentado (desde MXN 250)</w:t>
      </w:r>
      <w:r>
        <w:t xml:space="preserve"> </w:t>
      </w:r>
      <w:fldSimple w:instr="NOTEREF _Ref_Footnote_32 \h \f">
        <w:r>
          <w:rPr>
            <w:vertAlign w:val="superscript"/>
          </w:rPr>
          <w:t>32</w:t>
        </w:r>
      </w:fldSimple>
      <w:r>
        <w:t xml:space="preserve"> </w:t>
      </w:r>
      <w:fldSimple w:instr="NOTEREF _Ref_Footnote_39 \h \f">
        <w:r>
          <w:rPr>
            <w:vertAlign w:val="superscript"/>
          </w:rPr>
          <w:t>39</w:t>
        </w:r>
      </w:fldSimple>
      <w:r>
        <w:t xml:space="preserve">. La lección de JustAnswer —que cobra USD 25–150 por sesiones de 15 minutos— es que el pago por pregunta única es un modelo probado; la innovación aquí es el primer nivel de IA con citas verificadas y el cobro en efectivo</w:t>
      </w:r>
      <w:r>
        <w:t xml:space="preserve"> </w:t>
      </w:r>
      <w:r>
        <w:rPr>
          <w:vertAlign w:val="superscript"/>
        </w:rPr>
        <w:footnoteReference w:id="40"/>
      </w:r>
      <w:r>
        <w:t xml:space="preserve">.</w:t>
      </w:r>
    </w:p>
    <w:bookmarkEnd w:id="32"/>
    <w:bookmarkStart w:id="33" w:name="X662a570567db59c49d2007aa7306da673bf5d03"/>
    <w:p>
      <w:pPr>
        <w:pStyle w:val="Heading3"/>
      </w:pPr>
      <w:r>
        <w:t xml:space="preserve">3.3 El flujo del servicio: IA orienta, abogado valida, la plataforma resguarda</w:t>
      </w:r>
    </w:p>
    <w:p>
      <w:pPr>
        <w:pStyle w:val="FirstParagraph"/>
      </w:pPr>
      <w:r>
        <w:t xml:space="preserve">El flujo operativo condensa la Parte II de la investigación original y la adapta al pago único. Primero, el usuario conversa con el LLM, que entrega</w:t>
      </w:r>
      <w:r>
        <w:t xml:space="preserve"> </w:t>
      </w:r>
      <w:r>
        <w:rPr>
          <w:bCs/>
          <w:b/>
        </w:rPr>
        <w:t xml:space="preserve">orientación informativa</w:t>
      </w:r>
      <w:r>
        <w:t xml:space="preserve"> </w:t>
      </w:r>
      <w:r>
        <w:t xml:space="preserve">con citas a fuentes oficiales y un disclaimer visible —nunca asesoría, porque en México la</w:t>
      </w:r>
      <w:r>
        <w:t xml:space="preserve"> </w:t>
      </w:r>
      <w:r>
        <w:t xml:space="preserve">“</w:t>
      </w:r>
      <w:r>
        <w:t xml:space="preserve">simple consulta</w:t>
      </w:r>
      <w:r>
        <w:t xml:space="preserve">”</w:t>
      </w:r>
      <w:r>
        <w:t xml:space="preserve"> </w:t>
      </w:r>
      <w:r>
        <w:t xml:space="preserve">ya es ejercicio profesional reservado a titulados con cédula (Ley Reglamentaria del artículo 5° constitucional, arts. 24–26)</w:t>
      </w:r>
      <w:r>
        <w:t xml:space="preserve"> </w:t>
      </w:r>
      <w:r>
        <w:rPr>
          <w:vertAlign w:val="superscript"/>
        </w:rPr>
        <w:footnoteReference w:id="41"/>
      </w:r>
      <w:r>
        <w:t xml:space="preserve">. Segundo, si el caso lo amerita o el usuario lo pide, el sistema ofrece la</w:t>
      </w:r>
      <w:r>
        <w:t xml:space="preserve"> </w:t>
      </w:r>
      <w:r>
        <w:rPr>
          <w:bCs/>
          <w:b/>
        </w:rPr>
        <w:t xml:space="preserve">revisión por abogado</w:t>
      </w:r>
      <w:r>
        <w:t xml:space="preserve">: la IA arma el borrador de respuesta con sus citas verificadas y el resumen del caso; el usuario paga (en OXXO, tarjeta o SPEI) y elige abogado por especialidad, ubicación, precio y disponibilidad, con</w:t>
      </w:r>
      <w:r>
        <w:t xml:space="preserve"> </w:t>
      </w:r>
      <w:r>
        <w:rPr>
          <w:bCs/>
          <w:b/>
        </w:rPr>
        <w:t xml:space="preserve">cédula verificada contra el registro de la SEP</w:t>
      </w:r>
      <w:r>
        <w:t xml:space="preserve"> </w:t>
      </w:r>
      <w:r>
        <w:rPr>
          <w:vertAlign w:val="superscript"/>
        </w:rPr>
        <w:footnoteReference w:id="42"/>
      </w:r>
      <w:r>
        <w:t xml:space="preserve">. Tercero, el abogado revisa, edita,</w:t>
      </w:r>
      <w:r>
        <w:t xml:space="preserve"> </w:t>
      </w:r>
      <w:r>
        <w:rPr>
          <w:bCs/>
          <w:b/>
        </w:rPr>
        <w:t xml:space="preserve">aprueba y firma</w:t>
      </w:r>
      <w:r>
        <w:t xml:space="preserve"> </w:t>
      </w:r>
      <w:r>
        <w:t xml:space="preserve">la respuesta —momento en que la responsabilidad profesional se vuelve suya y queda trazabilidad completa de qué generó la IA, qué editó el abogado y qué se entregó— o agenda un chat de texto/voz en vivo con consentimiento explícito de grabación</w:t>
      </w:r>
      <w:r>
        <w:t xml:space="preserve"> </w:t>
      </w:r>
      <w:r>
        <w:rPr>
          <w:vertAlign w:val="superscript"/>
        </w:rPr>
        <w:footnoteReference w:id="43"/>
      </w:r>
      <w:r>
        <w:t xml:space="preserve"> </w:t>
      </w:r>
      <w:r>
        <w:rPr>
          <w:vertAlign w:val="superscript"/>
        </w:rPr>
        <w:footnoteReference w:id="44"/>
      </w:r>
      <w:r>
        <w:t xml:space="preserve">. Cuarto, todo queda en el historial cifrado del usuario, que puede compartir selectivamente documentos de su expediente (desbloqueo granular, revocable y registrado) si la relación continúa.</w:t>
      </w:r>
    </w:p>
    <w:p>
      <w:pPr>
        <w:pStyle w:val="BodyText"/>
      </w:pPr>
      <w:r>
        <w:t xml:space="preserve">Dos mecanismos financieros completan el diseño de confianza. El</w:t>
      </w:r>
      <w:r>
        <w:t xml:space="preserve"> </w:t>
      </w:r>
      <w:r>
        <w:rPr>
          <w:bCs/>
          <w:b/>
        </w:rPr>
        <w:t xml:space="preserve">pago en custodia (escrow)</w:t>
      </w:r>
      <w:r>
        <w:t xml:space="preserve"> </w:t>
      </w:r>
      <w:r>
        <w:t xml:space="preserve">retiene el dinero hasta que la respuesta aprobada se entrega —con split payments automáticos entre plataforma y abogado, una modalidad que Mercado Pago ya ofrece en México para marketplaces— y la compartición granular de documentos opera como mecanismo de cumplimiento de la LFPDPPP 2025: cada remisión de datos personales (potencialmente sensibles: salud, situación penal) requiere consentimiento informado y, en su caso, expreso del titular</w:t>
      </w:r>
      <w:r>
        <w:t xml:space="preserve"> </w:t>
      </w:r>
      <w:r>
        <w:rPr>
          <w:vertAlign w:val="superscript"/>
        </w:rPr>
        <w:footnoteReference w:id="45"/>
      </w:r>
      <w:r>
        <w:t xml:space="preserve"> </w:t>
      </w:r>
      <w:r>
        <w:rPr>
          <w:vertAlign w:val="superscript"/>
        </w:rPr>
        <w:footnoteReference w:id="46"/>
      </w:r>
      <w:r>
        <w:t xml:space="preserve">. La advertencia del caso DoNotPay —demandado y sancionado por automatizar respuestas legales sin supervisión— y el consenso de las barras estadounidenses (la IA puede preparar, pero un abogado debe validar y responder) son la licencia social de este nivel:</w:t>
      </w:r>
      <w:r>
        <w:t xml:space="preserve"> </w:t>
      </w:r>
      <w:r>
        <w:rPr>
          <w:bCs/>
          <w:b/>
        </w:rPr>
        <w:t xml:space="preserve">la validación humana no es un añadido, es el producto</w:t>
      </w:r>
      <w:r>
        <w:t xml:space="preserve"> </w:t>
      </w:r>
      <w:r>
        <w:rPr>
          <w:vertAlign w:val="superscript"/>
        </w:rPr>
        <w:footnoteReference w:id="47"/>
      </w:r>
      <w:r>
        <w:t xml:space="preserve"> </w:t>
      </w:r>
      <w:r>
        <w:rPr>
          <w:vertAlign w:val="superscript"/>
        </w:rPr>
        <w:footnoteReference w:id="48"/>
      </w:r>
      <w:r>
        <w:t xml:space="preserve">.</w:t>
      </w:r>
    </w:p>
    <w:bookmarkEnd w:id="33"/>
    <w:bookmarkStart w:id="34" w:name="Xf11d6f40071861cf994abd9174395ba04859d60"/>
    <w:p>
      <w:pPr>
        <w:pStyle w:val="Heading3"/>
      </w:pPr>
      <w:r>
        <w:t xml:space="preserve">3.4 Posicionamiento y competencia del Nivel 0</w:t>
      </w:r>
    </w:p>
    <w:p>
      <w:pPr>
        <w:pStyle w:val="FirstParagraph"/>
      </w:pPr>
      <w:r>
        <w:t xml:space="preserve">El Nivel 0 no compite contra los despachos: compite contra</w:t>
      </w:r>
      <w:r>
        <w:t xml:space="preserve"> </w:t>
      </w:r>
      <w:r>
        <w:rPr>
          <w:bCs/>
          <w:b/>
        </w:rPr>
        <w:t xml:space="preserve">no hacer nada</w:t>
      </w:r>
      <w:r>
        <w:t xml:space="preserve">, que es lo que hace hoy la mayoría (solo 23% buscó asesoría)</w:t>
      </w:r>
      <w:r>
        <w:t xml:space="preserve"> </w:t>
      </w:r>
      <w:fldSimple w:instr="NOTEREF _Ref_Footnote_12 \h \f">
        <w:r>
          <w:rPr>
            <w:vertAlign w:val="superscript"/>
          </w:rPr>
          <w:t>12</w:t>
        </w:r>
      </w:fldSimple>
      <w:r>
        <w:t xml:space="preserve">. Sus alternativas reales son la defensoría pública y los servicios gratuitos (IFDP, PROFECO, CONDUSEF) —contra los que se diferencia por inmediatez, especialidad y continuidad—, los directorios tipo elAbogado o abogadomex.mx —sin IA ni verificación profunda—, y los marketplaces tipo Profi.mx —sin citas verificables, sin cifrado y sin pago en efectivo integrado al flujo</w:t>
      </w:r>
      <w:r>
        <w:t xml:space="preserve"> </w:t>
      </w:r>
      <w:fldSimple w:instr="NOTEREF _Ref_Footnote_32 \h \f">
        <w:r>
          <w:rPr>
            <w:vertAlign w:val="superscript"/>
          </w:rPr>
          <w:t>32</w:t>
        </w:r>
      </w:fldSimple>
      <w:r>
        <w:t xml:space="preserve"> </w:t>
      </w:r>
      <w:r>
        <w:rPr>
          <w:vertAlign w:val="superscript"/>
        </w:rPr>
        <w:footnoteReference w:id="49"/>
      </w:r>
      <w:r>
        <w:t xml:space="preserve">. El benchmark de Legálitas en España demuestra la escala posible del modelo híbrido en español: un millón de usuarios únicos en el primer año y más de 6,000 derivaciones mensuales a abogados humanos</w:t>
      </w:r>
      <w:r>
        <w:t xml:space="preserve"> </w:t>
      </w:r>
      <w:fldSimple w:instr="NOTEREF _Ref_Footnote_26 \h \f">
        <w:r>
          <w:rPr>
            <w:vertAlign w:val="superscript"/>
          </w:rPr>
          <w:t>26</w:t>
        </w:r>
      </w:fldSimple>
      <w:r>
        <w:t xml:space="preserve">.</w:t>
      </w:r>
    </w:p>
    <w:p>
      <w:pPr>
        <w:pStyle w:val="BodyText"/>
      </w:pPr>
      <w:r>
        <w:t xml:space="preserve">El Nivel 0 cumple además tres funciones estratégicas que ningún competidor puede replicar sin el núcleo: es el</w:t>
      </w:r>
      <w:r>
        <w:t xml:space="preserve"> </w:t>
      </w:r>
      <w:r>
        <w:rPr>
          <w:bCs/>
          <w:b/>
        </w:rPr>
        <w:t xml:space="preserve">canal de adquisición más barato</w:t>
      </w:r>
      <w:r>
        <w:t xml:space="preserve"> </w:t>
      </w:r>
      <w:r>
        <w:t xml:space="preserve">del Nivel 1 (cada consulta validada es una demostración gratuita del motor de citas ante un abogado), es la</w:t>
      </w:r>
      <w:r>
        <w:t xml:space="preserve"> </w:t>
      </w:r>
      <w:r>
        <w:rPr>
          <w:bCs/>
          <w:b/>
        </w:rPr>
        <w:t xml:space="preserve">fuente del dataset de destilación</w:t>
      </w:r>
      <w:r>
        <w:t xml:space="preserve"> </w:t>
      </w:r>
      <w:r>
        <w:t xml:space="preserve">(pares borrador/aprobación que alimentan el re-entrenamiento del modelo, sección 7.4), y es la</w:t>
      </w:r>
      <w:r>
        <w:t xml:space="preserve"> </w:t>
      </w:r>
      <w:r>
        <w:rPr>
          <w:bCs/>
          <w:b/>
        </w:rPr>
        <w:t xml:space="preserve">prueba social</w:t>
      </w:r>
      <w:r>
        <w:t xml:space="preserve"> </w:t>
      </w:r>
      <w:r>
        <w:t xml:space="preserve">ante los despachos del Nivel 2 de que la plataforma entiende el derecho mexicano real —el de consumo, vivienda, trabajo y familia, no solo el corporativo. En síntesis: el Nivel 0 es barato por diseño porque su margen más valioso no es el peso por consulta, sino la demanda calificada y los datos que inyecta al resto del sistema.</w:t>
      </w:r>
    </w:p>
    <w:p>
      <w:r>
        <w:pict>
          <v:rect style="width:0;height:1.5pt" o:hralign="center" o:hrstd="t" o:hr="t"/>
        </w:pict>
      </w:r>
    </w:p>
    <w:bookmarkEnd w:id="34"/>
    <w:bookmarkEnd w:id="35"/>
    <w:bookmarkStart w:id="42" w:name="X00bb832d8522913a41acfb02e5e5f3f299a220d"/>
    <w:p>
      <w:pPr>
        <w:pStyle w:val="Heading2"/>
      </w:pPr>
      <w:r>
        <w:t xml:space="preserve">4. Nivel 1 — El abogado independiente: captación y productividad en pesos</w:t>
      </w:r>
    </w:p>
    <w:bookmarkStart w:id="39" w:name="X6a8f227750fea9957603c161cf1e376d9e463c2"/>
    <w:p>
      <w:pPr>
        <w:pStyle w:val="Heading3"/>
      </w:pPr>
      <w:r>
        <w:t xml:space="preserve">4.1 El segmento: enorme, desatendido y con urgencia económica</w:t>
      </w:r>
    </w:p>
    <w:p>
      <w:pPr>
        <w:pStyle w:val="FirstParagraph"/>
      </w:pPr>
      <w:r>
        <w:t xml:space="preserve">México tiene</w:t>
      </w:r>
      <w:r>
        <w:t xml:space="preserve"> </w:t>
      </w:r>
      <w:r>
        <w:rPr>
          <w:bCs/>
          <w:b/>
        </w:rPr>
        <w:t xml:space="preserve">445,000 abogados en ejercicio</w:t>
      </w:r>
      <w:r>
        <w:t xml:space="preserve"> </w:t>
      </w:r>
      <w:r>
        <w:t xml:space="preserve">al primer trimestre de 2026 (5.6% más que el trimestre anterior), con un salario promedio mensual de apenas</w:t>
      </w:r>
      <w:r>
        <w:t xml:space="preserve"> </w:t>
      </w:r>
      <w:r>
        <w:rPr>
          <w:bCs/>
          <w:b/>
        </w:rPr>
        <w:t xml:space="preserve">MXN 11,100</w:t>
      </w:r>
      <w:r>
        <w:t xml:space="preserve"> </w:t>
      </w:r>
      <w:r>
        <w:t xml:space="preserve">según Data México/ENOE; apenas unos años antes (2023) el promedio era de MXN 7,320, lo que da idea de la presión económica del gremio</w:t>
      </w:r>
      <w:r>
        <w:t xml:space="preserve"> </w:t>
      </w:r>
      <w:fldSimple w:instr="NOTEREF _Ref_Footnote_13 \h \f">
        <w:r>
          <w:rPr>
            <w:vertAlign w:val="superscript"/>
          </w:rPr>
          <w:t>13</w:t>
        </w:r>
      </w:fldSimple>
      <w:r>
        <w:t xml:space="preserve"> </w:t>
      </w:r>
      <w:r>
        <w:rPr>
          <w:vertAlign w:val="superscript"/>
        </w:rPr>
        <w:footnoteReference w:id="50"/>
      </w:r>
      <w:r>
        <w:t xml:space="preserve"> </w:t>
      </w:r>
      <w:fldSimple w:instr="NOTEREF _Ref_Footnote_6 \h \f">
        <w:r>
          <w:rPr>
            <w:vertAlign w:val="superscript"/>
          </w:rPr>
          <w:t>6</w:t>
        </w:r>
      </w:fldSimple>
      <w:r>
        <w:t xml:space="preserve">. Ese dato salarial define el techo de precio del Nivel 1 y explica por qué los actores globales no pueden servirlo: CoCounsel cuesta USD 225–428 por usuario al mes (≈ MXN 4,275–8,150), Lexis+ AI arranca en USD 128 (≈ MXN 2,432) y Harvey exige mínimos de ~USD 288,000 anuales con piso de 20 usuarios (≈ MXN 22,800 por usuario al mes)</w:t>
      </w:r>
      <w:r>
        <w:t xml:space="preserve"> </w:t>
      </w:r>
      <w:fldSimple w:instr="NOTEREF _Ref_Footnote_21 \h \f">
        <w:r>
          <w:rPr>
            <w:vertAlign w:val="superscript"/>
          </w:rPr>
          <w:t>21</w:t>
        </w:r>
      </w:fldSimple>
      <w:r>
        <w:t xml:space="preserve"> </w:t>
      </w:r>
      <w:fldSimple w:instr="NOTEREF _Ref_Footnote_1 \h \f">
        <w:r>
          <w:rPr>
            <w:vertAlign w:val="superscript"/>
          </w:rPr>
          <w:t>1</w:t>
        </w:r>
      </w:fldSimple>
      <w:r>
        <w:t xml:space="preserve"> </w:t>
      </w:r>
      <w:fldSimple w:instr="NOTEREF _Ref_Footnote_30 \h \f">
        <w:r>
          <w:rPr>
            <w:vertAlign w:val="superscript"/>
          </w:rPr>
          <w:t>30</w:t>
        </w:r>
      </w:fldSimple>
      <w:r>
        <w:t xml:space="preserve">. Una suscripción de</w:t>
      </w:r>
      <w:r>
        <w:t xml:space="preserve"> </w:t>
      </w:r>
      <w:r>
        <w:rPr>
          <w:bCs/>
          <w:b/>
        </w:rPr>
        <w:t xml:space="preserve">~MXN 499/mes</w:t>
      </w:r>
      <w:r>
        <w:t xml:space="preserve"> </w:t>
      </w:r>
      <w:r>
        <w:t xml:space="preserve">—alrededor de 4.5% del ingreso promedio del segmento— es la franja donde el grueso de la profesión puede comprar. LemonTech estima que</w:t>
      </w:r>
      <w:r>
        <w:t xml:space="preserve"> </w:t>
      </w:r>
      <w:r>
        <w:rPr>
          <w:bCs/>
          <w:b/>
        </w:rPr>
        <w:t xml:space="preserve">cerca de 450,000 abogados en México no usan IA en su práctica diaria</w:t>
      </w:r>
      <w:r>
        <w:t xml:space="preserve">: el Nivel 1 es, literalmente, el mercado casi completo</w:t>
      </w:r>
      <w:r>
        <w:t xml:space="preserve"> </w:t>
      </w:r>
      <w:fldSimple w:instr="NOTEREF _Ref_Footnote_14 \h \f">
        <w:r>
          <w:rPr>
            <w:vertAlign w:val="superscript"/>
          </w:rPr>
          <w:t>14</w:t>
        </w:r>
      </w:fldSimple>
      <w:r>
        <w:t xml:space="preserve">.</w:t>
      </w:r>
    </w:p>
    <w:p>
      <w:pPr>
        <w:pStyle w:val="CaptionedFigure"/>
      </w:pPr>
      <w:r>
        <w:drawing>
          <wp:inline>
            <wp:extent cx="5334000" cy="2438400"/>
            <wp:effectExtent b="0" l="0" r="0" t="0"/>
            <wp:docPr descr="Comparativa de costo mensual por usuario de asistentes legales con IA" title="" id="37" name="Picture"/>
            <a:graphic>
              <a:graphicData uri="http://schemas.openxmlformats.org/drawingml/2006/picture">
                <pic:pic>
                  <pic:nvPicPr>
                    <pic:cNvPr descr="assets/fig3_costos.png" id="38" name="Picture"/>
                    <pic:cNvPicPr>
                      <a:picLocks noChangeArrowheads="1" noChangeAspect="1"/>
                    </pic:cNvPicPr>
                  </pic:nvPicPr>
                  <pic:blipFill>
                    <a:blip r:embed="rId36"/>
                    <a:stretch>
                      <a:fillRect/>
                    </a:stretch>
                  </pic:blipFill>
                  <pic:spPr bwMode="auto">
                    <a:xfrm>
                      <a:off x="0" y="0"/>
                      <a:ext cx="5334000" cy="2438400"/>
                    </a:xfrm>
                    <a:prstGeom prst="rect">
                      <a:avLst/>
                    </a:prstGeom>
                    <a:noFill/>
                    <a:ln w="9525">
                      <a:noFill/>
                      <a:headEnd/>
                      <a:tailEnd/>
                    </a:ln>
                  </pic:spPr>
                </pic:pic>
              </a:graphicData>
            </a:graphic>
          </wp:inline>
        </w:drawing>
      </w:r>
    </w:p>
    <w:p>
      <w:pPr>
        <w:pStyle w:val="ImageCaption"/>
      </w:pPr>
      <w:r>
        <w:t xml:space="preserve">Comparativa de costo mensual por usuario de asistentes legales con IA</w:t>
      </w:r>
    </w:p>
    <w:p>
      <w:pPr>
        <w:pStyle w:val="BodyText"/>
      </w:pPr>
      <w:r>
        <w:t xml:space="preserve">El segundo dato estructural del segmento es su fragmentación operativa: la justicia mexicana opera en</w:t>
      </w:r>
      <w:r>
        <w:t xml:space="preserve"> </w:t>
      </w:r>
      <w:r>
        <w:rPr>
          <w:bCs/>
          <w:b/>
        </w:rPr>
        <w:t xml:space="preserve">32 entidades federativas con criterios locales distintos y fuentes de jurisprudencia no unificadas</w:t>
      </w:r>
      <w:r>
        <w:t xml:space="preserve">, lo que castiga sobre todo al abogado solo, sin personal de investigación</w:t>
      </w:r>
      <w:r>
        <w:t xml:space="preserve"> </w:t>
      </w:r>
      <w:fldSimple w:instr="NOTEREF _Ref_Footnote_14 \h \f">
        <w:r>
          <w:rPr>
            <w:vertAlign w:val="superscript"/>
          </w:rPr>
          <w:t>14</w:t>
        </w:r>
      </w:fldSimple>
      <w:r>
        <w:t xml:space="preserve">. Un asistente cuyo corpus cubre legislación y jurisprudencia federal</w:t>
      </w:r>
      <w:r>
        <w:t xml:space="preserve"> </w:t>
      </w:r>
      <w:r>
        <w:rPr>
          <w:bCs/>
          <w:b/>
        </w:rPr>
        <w:t xml:space="preserve">y</w:t>
      </w:r>
      <w:r>
        <w:t xml:space="preserve"> </w:t>
      </w:r>
      <w:r>
        <w:t xml:space="preserve">estatal —las gacetas estatales y el Orden Jurídico Nacional que los globales descuidan— es para este usuario la diferencia entre competir o no contra despachos con más estructura</w:t>
      </w:r>
      <w:r>
        <w:t xml:space="preserve"> </w:t>
      </w:r>
      <w:fldSimple w:instr="NOTEREF _Ref_Footnote_19 \h \f">
        <w:r>
          <w:rPr>
            <w:vertAlign w:val="superscript"/>
          </w:rPr>
          <w:t>19</w:t>
        </w:r>
      </w:fldSimple>
      <w:r>
        <w:t xml:space="preserve"> </w:t>
      </w:r>
      <w:fldSimple w:instr="NOTEREF _Ref_Footnote_18 \h \f">
        <w:r>
          <w:rPr>
            <w:vertAlign w:val="superscript"/>
          </w:rPr>
          <w:t>18</w:t>
        </w:r>
      </w:fldSimple>
      <w:r>
        <w:t xml:space="preserve">.</w:t>
      </w:r>
    </w:p>
    <w:bookmarkEnd w:id="39"/>
    <w:bookmarkStart w:id="40" w:name="X320656d0c21937ffc6fffdde56c0ec521bafd7c"/>
    <w:p>
      <w:pPr>
        <w:pStyle w:val="Heading3"/>
      </w:pPr>
      <w:r>
        <w:t xml:space="preserve">4.2 Las herramientas: el paquete de la Parte I, repricing y reordenado</w:t>
      </w:r>
    </w:p>
    <w:p>
      <w:pPr>
        <w:pStyle w:val="FirstParagraph"/>
      </w:pPr>
      <w:r>
        <w:t xml:space="preserve">Del lado de productividad, el Nivel 1 empaqueta las cuatro capacidades de la investigación original: el</w:t>
      </w:r>
      <w:r>
        <w:t xml:space="preserve"> </w:t>
      </w:r>
      <w:r>
        <w:rPr>
          <w:bCs/>
          <w:b/>
        </w:rPr>
        <w:t xml:space="preserve">LLM jurídico mexicano con citas resueltas contra registros reales</w:t>
      </w:r>
      <w:r>
        <w:t xml:space="preserve"> </w:t>
      </w:r>
      <w:r>
        <w:t xml:space="preserve">(nunca contra la memoria del modelo, con abstención ante baja confianza, siguiendo la política conservadora que el benchmark Vals AI destacó en Vincent AI), el</w:t>
      </w:r>
      <w:r>
        <w:t xml:space="preserve"> </w:t>
      </w:r>
      <w:r>
        <w:rPr>
          <w:bCs/>
          <w:b/>
        </w:rPr>
        <w:t xml:space="preserve">historial de consultas cifrado</w:t>
      </w:r>
      <w:r>
        <w:t xml:space="preserve">, el</w:t>
      </w:r>
      <w:r>
        <w:t xml:space="preserve"> </w:t>
      </w:r>
      <w:r>
        <w:rPr>
          <w:bCs/>
          <w:b/>
        </w:rPr>
        <w:t xml:space="preserve">expediente completo cifrado de extremo a extremo con llaves del abogado</w:t>
      </w:r>
      <w:r>
        <w:t xml:space="preserve"> </w:t>
      </w:r>
      <w:r>
        <w:t xml:space="preserve">—de modo que ni la plataforma pueda leer el contenido— y el</w:t>
      </w:r>
      <w:r>
        <w:t xml:space="preserve"> </w:t>
      </w:r>
      <w:r>
        <w:rPr>
          <w:bCs/>
          <w:b/>
        </w:rPr>
        <w:t xml:space="preserve">sellado NOM-151</w:t>
      </w:r>
      <w:r>
        <w:t xml:space="preserve"> </w:t>
      </w:r>
      <w:r>
        <w:t xml:space="preserve">como módulo premium que convierte el expediente digital en evidencia con valor probatorio pleno (sello de tiempo RFC 3161, hash SHA-256, constancia de conservación de un PSC acreditado, desde ~MXN 1.8 por documento en volumen)</w:t>
      </w:r>
      <w:r>
        <w:t xml:space="preserve"> </w:t>
      </w:r>
      <w:r>
        <w:rPr>
          <w:vertAlign w:val="superscript"/>
        </w:rPr>
        <w:footnoteReference w:id="51"/>
      </w:r>
      <w:r>
        <w:t xml:space="preserve"> </w:t>
      </w:r>
      <w:r>
        <w:rPr>
          <w:vertAlign w:val="superscript"/>
        </w:rPr>
        <w:footnoteReference w:id="52"/>
      </w:r>
      <w:r>
        <w:t xml:space="preserve"> </w:t>
      </w:r>
      <w:r>
        <w:rPr>
          <w:vertAlign w:val="superscript"/>
        </w:rPr>
        <w:footnoteReference w:id="53"/>
      </w:r>
      <w:r>
        <w:t xml:space="preserve">. A ellas se añade el</w:t>
      </w:r>
      <w:r>
        <w:t xml:space="preserve"> </w:t>
      </w:r>
      <w:r>
        <w:rPr>
          <w:bCs/>
          <w:b/>
        </w:rPr>
        <w:t xml:space="preserve">OCR y análisis documental</w:t>
      </w:r>
      <w:r>
        <w:t xml:space="preserve"> </w:t>
      </w:r>
      <w:r>
        <w:t xml:space="preserve">(sección 6): digitalización del archivo propio, búsqueda de texto completo en expedientes escaneados y extracción estructurada de datos de contratos, actas y escrituras</w:t>
      </w:r>
      <w:r>
        <w:t xml:space="preserve"> </w:t>
      </w:r>
      <w:r>
        <w:rPr>
          <w:vertAlign w:val="superscript"/>
        </w:rPr>
        <w:footnoteReference w:id="54"/>
      </w:r>
      <w:r>
        <w:t xml:space="preserve">.</w:t>
      </w:r>
    </w:p>
    <w:p>
      <w:pPr>
        <w:pStyle w:val="BodyText"/>
      </w:pPr>
      <w:r>
        <w:t xml:space="preserve">El cumplimiento de este nivel ya estaba resuelto en la investigación original y se mantiene: la plataforma se califica contractualmente como</w:t>
      </w:r>
      <w:r>
        <w:t xml:space="preserve"> </w:t>
      </w:r>
      <w:r>
        <w:rPr>
          <w:bCs/>
          <w:b/>
        </w:rPr>
        <w:t xml:space="preserve">encargada</w:t>
      </w:r>
      <w:r>
        <w:t xml:space="preserve"> </w:t>
      </w:r>
      <w:r>
        <w:t xml:space="preserve">en términos de la LFPDPPP 2025 (DPA estándar, cláusula de no entrenamiento, supresión verificable), de modo que el abogado no realiza ninguna</w:t>
      </w:r>
      <w:r>
        <w:t xml:space="preserve"> </w:t>
      </w:r>
      <w:r>
        <w:t xml:space="preserve">“</w:t>
      </w:r>
      <w:r>
        <w:t xml:space="preserve">transferencia</w:t>
      </w:r>
      <w:r>
        <w:t xml:space="preserve">”</w:t>
      </w:r>
      <w:r>
        <w:t xml:space="preserve"> </w:t>
      </w:r>
      <w:r>
        <w:t xml:space="preserve">que exigiría consentimiento del titular ni arriesgaría el secreto profesional</w:t>
      </w:r>
      <w:r>
        <w:t xml:space="preserve"> </w:t>
      </w:r>
      <w:r>
        <w:rPr>
          <w:vertAlign w:val="superscript"/>
        </w:rPr>
        <w:footnoteReference w:id="55"/>
      </w:r>
      <w:r>
        <w:t xml:space="preserve">. El diseño de</w:t>
      </w:r>
      <w:r>
        <w:t xml:space="preserve"> </w:t>
      </w:r>
      <w:r>
        <w:rPr>
          <w:iCs/>
          <w:i/>
        </w:rPr>
        <w:t xml:space="preserve">human in the loop</w:t>
      </w:r>
      <w:r>
        <w:t xml:space="preserve"> </w:t>
      </w:r>
      <w:r>
        <w:t xml:space="preserve">—la IA acelera búsqueda, extracción, síntesis y citación; el juicio es del abogado— sigue la lección del benchmark independiente: la IA supera al abogado promedio en preguntas sobre documentos (80.2% vs. 70.1%), pero los humanos ganan en tareas de juicio contextual</w:t>
      </w:r>
      <w:r>
        <w:t xml:space="preserve"> </w:t>
      </w:r>
      <w:fldSimple w:instr="NOTEREF _Ref_Footnote_51 \h \f">
        <w:r>
          <w:rPr>
            <w:vertAlign w:val="superscript"/>
          </w:rPr>
          <w:t>51</w:t>
        </w:r>
      </w:fldSimple>
      <w:r>
        <w:t xml:space="preserve"> </w:t>
      </w:r>
      <w:r>
        <w:rPr>
          <w:vertAlign w:val="superscript"/>
        </w:rPr>
        <w:footnoteReference w:id="56"/>
      </w:r>
      <w:r>
        <w:t xml:space="preserve">.</w:t>
      </w:r>
    </w:p>
    <w:bookmarkEnd w:id="40"/>
    <w:bookmarkStart w:id="41" w:name="X07e6235b24fff3cdfe6df4dedad4ec7b7614599"/>
    <w:p>
      <w:pPr>
        <w:pStyle w:val="Heading3"/>
      </w:pPr>
      <w:r>
        <w:t xml:space="preserve">4.3 El marketplace como motor de captación: lo que ningún SaaS jurídico ofrece</w:t>
      </w:r>
    </w:p>
    <w:p>
      <w:pPr>
        <w:pStyle w:val="FirstParagraph"/>
      </w:pPr>
      <w:r>
        <w:t xml:space="preserve">La diferencia decisiva del Nivel 1 frente a Lexfania o LexIDE no es técnica, es económica:</w:t>
      </w:r>
      <w:r>
        <w:t xml:space="preserve"> </w:t>
      </w:r>
      <w:r>
        <w:rPr>
          <w:bCs/>
          <w:b/>
        </w:rPr>
        <w:t xml:space="preserve">la suscripción se paga sola si el abogado cierra un solo cliente derivado al mes</w:t>
      </w:r>
      <w:r>
        <w:t xml:space="preserve">. La bandeja de casos del Nivel 0 llega ya calificada por la IA (especialidad, urgencia, resumen estructurado del caso y borrador con citas verificadas), de modo que el abogado no invierte tiempo en filtrar curiosos —el patrón de Asesor.Legal en España, cuyo triaje conversacional deriva casos calificados a una base de más de 90,000 profesionales</w:t>
      </w:r>
      <w:r>
        <w:t xml:space="preserve"> </w:t>
      </w:r>
      <w:r>
        <w:rPr>
          <w:vertAlign w:val="superscript"/>
        </w:rPr>
        <w:footnoteReference w:id="57"/>
      </w:r>
      <w:r>
        <w:t xml:space="preserve">. Los mecanismos de confianza del lado de la oferta son los ya investigados: verificación de cédula SEP, reputación sin comparaciones denigratorias, honorarios fijados por el abogado, comisión de intermediación transparente (15–25%) y escrow hasta la entrega</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 </w:t>
      </w:r>
      <w:fldSimple w:instr="NOTEREF _Ref_Footnote_45 \h \f">
        <w:r>
          <w:rPr>
            <w:vertAlign w:val="superscript"/>
          </w:rPr>
          <w:t>45</w:t>
        </w:r>
      </w:fldSimple>
      <w:r>
        <w:t xml:space="preserve">.</w:t>
      </w:r>
    </w:p>
    <w:p>
      <w:pPr>
        <w:pStyle w:val="BodyText"/>
      </w:pPr>
      <w:r>
        <w:t xml:space="preserve">El riesgo deontológico identificado en la Parte II se mantiene como restricción de diseño: el Código de Ética de la Barra Mexicana prohíbe a sus agremiados usar terceros para captación (art. 33.4), prometer resultados y publicitar tarifas</w:t>
      </w:r>
      <w:r>
        <w:t xml:space="preserve"> </w:t>
      </w:r>
      <w:fldSimple w:instr="NOTEREF _Ref_Footnote_43 \h \f">
        <w:r>
          <w:rPr>
            <w:vertAlign w:val="superscript"/>
          </w:rPr>
          <w:t>43</w:t>
        </w:r>
      </w:fldSimple>
      <w:r>
        <w:t xml:space="preserve">. Aunque el código solo obliga a agremiados y no existe un código general obligatorio para toda la abogacía mexicana, el formato prudente es el de</w:t>
      </w:r>
      <w:r>
        <w:t xml:space="preserve"> </w:t>
      </w:r>
      <w:r>
        <w:rPr>
          <w:bCs/>
          <w:b/>
        </w:rPr>
        <w:t xml:space="preserve">“</w:t>
      </w:r>
      <w:r>
        <w:rPr>
          <w:bCs/>
          <w:b/>
        </w:rPr>
        <w:t xml:space="preserve">consultorio tecnológico</w:t>
      </w:r>
      <w:r>
        <w:rPr>
          <w:bCs/>
          <w:b/>
        </w:rPr>
        <w:t xml:space="preserve">”</w:t>
      </w:r>
      <w:r>
        <w:t xml:space="preserve"> </w:t>
      </w:r>
      <w:r>
        <w:t xml:space="preserve">—el abogado presta el servicio a través de la plataforma, la plataforma cobra por tecnología e intermediación, no por captación—, con diálogo temprano con colegios y barras para validar el formato</w:t>
      </w:r>
      <w:r>
        <w:t xml:space="preserve"> </w:t>
      </w:r>
      <w:fldSimple w:instr="NOTEREF _Ref_Footnote_44 \h \f">
        <w:r>
          <w:rPr>
            <w:vertAlign w:val="superscript"/>
          </w:rPr>
          <w:t>44</w:t>
        </w:r>
      </w:fldSimple>
      <w:r>
        <w:t xml:space="preserve">. Para resolver el problema del huevo y la gallina, la secuencia ya indicada es: red de abogados gratis al inicio, demanda atraída por el LLM gratuito con citas como imán</w:t>
      </w:r>
      <w:r>
        <w:t xml:space="preserve"> </w:t>
      </w:r>
      <w:fldSimple w:instr="NOTEREF _Ref_Footnote_2 \h \f">
        <w:r>
          <w:rPr>
            <w:vertAlign w:val="superscript"/>
          </w:rPr>
          <w:t>2</w:t>
        </w:r>
      </w:fldSimple>
      <w:r>
        <w:t xml:space="preserve">.</w:t>
      </w:r>
    </w:p>
    <w:p>
      <w:r>
        <w:pict>
          <v:rect style="width:0;height:1.5pt" o:hralign="center" o:hrstd="t" o:hr="t"/>
        </w:pict>
      </w:r>
    </w:p>
    <w:bookmarkEnd w:id="41"/>
    <w:bookmarkEnd w:id="42"/>
    <w:bookmarkStart w:id="47" w:name="X4bca4a5667fbfc87d7df620fa77d9d1050671aa"/>
    <w:p>
      <w:pPr>
        <w:pStyle w:val="Heading2"/>
      </w:pPr>
      <w:r>
        <w:t xml:space="preserve">5. Nivel 2 — El gran despacho: la plataforma en casa del cliente</w:t>
      </w:r>
    </w:p>
    <w:bookmarkStart w:id="43" w:name="X176235574d214e7c8500bd5a90ba97eca39363d"/>
    <w:p>
      <w:pPr>
        <w:pStyle w:val="Heading3"/>
      </w:pPr>
      <w:r>
        <w:t xml:space="preserve">5.1 Por qué on-premise: el argumento de venta es jurídico, no técnico</w:t>
      </w:r>
    </w:p>
    <w:p>
      <w:pPr>
        <w:pStyle w:val="FirstParagraph"/>
      </w:pPr>
      <w:r>
        <w:t xml:space="preserve">El Nivel 2 nace de una asimetría que la investigación original ya había detectado: para un gran despacho, el obstáculo de la IA en la nube</w:t>
      </w:r>
      <w:r>
        <w:t xml:space="preserve"> </w:t>
      </w:r>
      <w:r>
        <w:rPr>
          <w:bCs/>
          <w:b/>
        </w:rPr>
        <w:t xml:space="preserve">no es el precio sino el privilegio</w:t>
      </w:r>
      <w:r>
        <w:t xml:space="preserve">. El análisis mexicano disponible es claro —si el proveedor de IA trata datos solo por cuenta del despacho es encargado, pero si los retiene o los usa para fines propios se convierte en tercero y enviarle datos de clientes constituye transferencia que exige consentimiento y puede violar el secreto profesional— y la recomendación de expertos es una arquitectura donde</w:t>
      </w:r>
      <w:r>
        <w:t xml:space="preserve"> </w:t>
      </w:r>
      <w:r>
        <w:rPr>
          <w:bCs/>
          <w:b/>
        </w:rPr>
        <w:t xml:space="preserve">lo identificable del cliente se procesa localmente o cifrado y solo lo público viaja a la nube</w:t>
      </w:r>
      <w:r>
        <w:t xml:space="preserve"> </w:t>
      </w:r>
      <w:fldSimple w:instr="NOTEREF _Ref_Footnote_55 \h \f">
        <w:r>
          <w:rPr>
            <w:vertAlign w:val="superscript"/>
          </w:rPr>
          <w:t>55</w:t>
        </w:r>
      </w:fldSimple>
      <w:r>
        <w:t xml:space="preserve">. Los expedientes contienen datos sensibles por naturaleza y la LFPDPPP 2025 duplica las sanciones (hasta 320,000 UMA, ~MXN 36 millones) cuando los datos son sensibles</w:t>
      </w:r>
      <w:r>
        <w:t xml:space="preserve"> </w:t>
      </w:r>
      <w:fldSimple w:instr="NOTEREF _Ref_Footnote_22 \h \f">
        <w:r>
          <w:rPr>
            <w:vertAlign w:val="superscript"/>
          </w:rPr>
          <w:t>22</w:t>
        </w:r>
      </w:fldSimple>
      <w:r>
        <w:t xml:space="preserve">. Añádase que los clientes corporativos de los grandes despachos —bancos, aseguradoras, emisoras— imponen cada vez más requisitos de residencia y control de datos a sus proveedores legales.</w:t>
      </w:r>
    </w:p>
    <w:p>
      <w:pPr>
        <w:pStyle w:val="BodyText"/>
      </w:pPr>
      <w:r>
        <w:t xml:space="preserve">El mercado global confirma que esta necesidad ya se monetiza: en 2026 el despliegue auto-hospedado de LLM para despachos es</w:t>
      </w:r>
      <w:r>
        <w:t xml:space="preserve"> </w:t>
      </w:r>
      <w:r>
        <w:t xml:space="preserve">“</w:t>
      </w:r>
      <w:r>
        <w:t xml:space="preserve">legítimamente viable, impulsado casi enteramente por residencia de datos</w:t>
      </w:r>
      <w:r>
        <w:t xml:space="preserve">”</w:t>
      </w:r>
      <w:r>
        <w:t xml:space="preserve"> </w:t>
      </w:r>
      <w:fldSimple w:instr="NOTEREF _Ref_Footnote_15 \h \f">
        <w:r>
          <w:rPr>
            <w:vertAlign w:val="superscript"/>
          </w:rPr>
          <w:t>15</w:t>
        </w:r>
      </w:fldSimple>
      <w:r>
        <w:t xml:space="preserve">; existen proveedores cuyo producto es literalmente un</w:t>
      </w:r>
      <w:r>
        <w:t xml:space="preserve"> </w:t>
      </w:r>
      <w:r>
        <w:rPr>
          <w:bCs/>
          <w:b/>
        </w:rPr>
        <w:t xml:space="preserve">nodo de IA on-premise para despachos</w:t>
      </w:r>
      <w:r>
        <w:t xml:space="preserve"> </w:t>
      </w:r>
      <w:r>
        <w:t xml:space="preserve">—</w:t>
      </w:r>
      <w:r>
        <w:t xml:space="preserve">“</w:t>
      </w:r>
      <w:r>
        <w:t xml:space="preserve">tus archivos nunca salen del edificio</w:t>
      </w:r>
      <w:r>
        <w:t xml:space="preserve">”</w:t>
      </w:r>
      <w:r>
        <w:t xml:space="preserve">, sobre infraestructura Dell/NVIDIA/Qdrant/Ollama, con revisión del abogado como compuerta obligatoria</w:t>
      </w:r>
      <w:r>
        <w:t xml:space="preserve"> </w:t>
      </w:r>
      <w:fldSimple w:instr="NOTEREF _Ref_Footnote_31 \h \f">
        <w:r>
          <w:rPr>
            <w:vertAlign w:val="superscript"/>
          </w:rPr>
          <w:t>31</w:t>
        </w:r>
      </w:fldSimple>
      <w:r>
        <w:t xml:space="preserve">— y consultoras que despliegan LLM privados para firmas legales en modalidad on-premise o VPC con cifrado AES-256/TLS 1.3 y bitácoras de auditoría de cada interacción</w:t>
      </w:r>
      <w:r>
        <w:t xml:space="preserve"> </w:t>
      </w:r>
      <w:fldSimple w:instr="NOTEREF _Ref_Footnote_28 \h \f">
        <w:r>
          <w:rPr>
            <w:vertAlign w:val="superscript"/>
          </w:rPr>
          <w:t>28</w:t>
        </w:r>
      </w:fldSimple>
      <w:r>
        <w:t xml:space="preserve"> </w:t>
      </w:r>
      <w:r>
        <w:rPr>
          <w:vertAlign w:val="superscript"/>
        </w:rPr>
        <w:footnoteReference w:id="58"/>
      </w:r>
      <w:r>
        <w:t xml:space="preserve">. Thomson Reuters ya lanzó CoCounsel Core en México (junio 2026) con el argumento de</w:t>
      </w:r>
      <w:r>
        <w:t xml:space="preserve"> </w:t>
      </w:r>
      <w:r>
        <w:t xml:space="preserve">“</w:t>
      </w:r>
      <w:r>
        <w:t xml:space="preserve">IA de grado fiduciario</w:t>
      </w:r>
      <w:r>
        <w:t xml:space="preserve">”</w:t>
      </w:r>
      <w:r>
        <w:t xml:space="preserve">, entornos dedicados y no entrenamiento con datos del cliente —pero sigue siendo nube del proveedor, a precios empresariales en dólares</w:t>
      </w:r>
      <w:r>
        <w:t xml:space="preserve"> </w:t>
      </w:r>
      <w:fldSimple w:instr="NOTEREF _Ref_Footnote_23 \h \f">
        <w:r>
          <w:rPr>
            <w:vertAlign w:val="superscript"/>
          </w:rPr>
          <w:t>23</w:t>
        </w:r>
      </w:fldSimple>
      <w:r>
        <w:t xml:space="preserve">.</w:t>
      </w:r>
      <w:r>
        <w:t xml:space="preserve"> </w:t>
      </w:r>
      <w:r>
        <w:rPr>
          <w:bCs/>
          <w:b/>
        </w:rPr>
        <w:t xml:space="preserve">El Nivel 2 es la respuesta local a esa jugada: misma promesa fiduciaria, pero dentro del firewall del despacho.</w:t>
      </w:r>
    </w:p>
    <w:p>
      <w:pPr>
        <w:pStyle w:val="BodyText"/>
      </w:pPr>
      <w:r>
        <w:t xml:space="preserve">La ventana de mercado está medida: solo</w:t>
      </w:r>
      <w:r>
        <w:t xml:space="preserve"> </w:t>
      </w:r>
      <w:r>
        <w:rPr>
          <w:bCs/>
          <w:b/>
        </w:rPr>
        <w:t xml:space="preserve">28% de los grandes despachos y áreas legales corporativas en México ha incorporado IA</w:t>
      </w:r>
      <w:r>
        <w:t xml:space="preserve">, concentrado en firmas con exposición internacional</w:t>
      </w:r>
      <w:r>
        <w:t xml:space="preserve"> </w:t>
      </w:r>
      <w:fldSimple w:instr="NOTEREF _Ref_Footnote_14 \h \f">
        <w:r>
          <w:rPr>
            <w:vertAlign w:val="superscript"/>
          </w:rPr>
          <w:t>14</w:t>
        </w:r>
      </w:fldSimple>
      <w:r>
        <w:t xml:space="preserve">. El 72% restante no es un mercado saturado sino un mercado virgen que está evaluando opciones justo ahora, con rankings especializados que listan decenas de firmas candidatas (69 despachos solo en la categoría M&amp;A de Leaders League México 2026)</w:t>
      </w:r>
      <w:r>
        <w:t xml:space="preserve"> </w:t>
      </w:r>
      <w:fldSimple w:instr="NOTEREF _Ref_Footnote_4 \h \f">
        <w:r>
          <w:rPr>
            <w:vertAlign w:val="superscript"/>
          </w:rPr>
          <w:t>4</w:t>
        </w:r>
      </w:fldSimple>
      <w:r>
        <w:t xml:space="preserve">.</w:t>
      </w:r>
    </w:p>
    <w:bookmarkEnd w:id="43"/>
    <w:bookmarkStart w:id="44" w:name="arquitectura-del-despliegue-local"/>
    <w:p>
      <w:pPr>
        <w:pStyle w:val="Heading3"/>
      </w:pPr>
      <w:r>
        <w:t xml:space="preserve">5.2 Arquitectura del despliegue local</w:t>
      </w:r>
    </w:p>
    <w:p>
      <w:pPr>
        <w:pStyle w:val="FirstParagraph"/>
      </w:pPr>
      <w:r>
        <w:t xml:space="preserve">El diseño técnico del Nivel 2 separa el sistema en dos perímetros. El</w:t>
      </w:r>
      <w:r>
        <w:t xml:space="preserve"> </w:t>
      </w:r>
      <w:r>
        <w:rPr>
          <w:bCs/>
          <w:b/>
        </w:rPr>
        <w:t xml:space="preserve">perímetro privado</w:t>
      </w:r>
      <w:r>
        <w:t xml:space="preserve"> </w:t>
      </w:r>
      <w:r>
        <w:t xml:space="preserve">(dentro del despacho) contiene: el modelo destilado servido localmente sobre pesos abiertos —la familia Qwen3 lidera hoy el español entre modelos abiertos, con variantes desde 8B hasta 235B parámetros y licencia Apache 2.0 que permite uso comercial sin restricciones; DeepSeek (MIT) y Mistral (Apache 2.0) son alternativas igual de limpias jurídicamente</w:t>
      </w:r>
      <w:r>
        <w:t xml:space="preserve"> </w:t>
      </w:r>
      <w:fldSimple w:instr="NOTEREF _Ref_Footnote_16 \h \f">
        <w:r>
          <w:rPr>
            <w:vertAlign w:val="superscript"/>
          </w:rPr>
          <w:t>16</w:t>
        </w:r>
      </w:fldSimple>
      <w:r>
        <w:t xml:space="preserve"> </w:t>
      </w:r>
      <w:r>
        <w:rPr>
          <w:vertAlign w:val="superscript"/>
        </w:rPr>
        <w:footnoteReference w:id="59"/>
      </w:r>
      <w:r>
        <w:t xml:space="preserve">—; el stack de inferencia (vLLM para producción multiusuario, Ollama para nodos pequeños)</w:t>
      </w:r>
      <w:r>
        <w:t xml:space="preserve"> </w:t>
      </w:r>
      <w:r>
        <w:rPr>
          <w:vertAlign w:val="superscript"/>
        </w:rPr>
        <w:footnoteReference w:id="60"/>
      </w:r>
      <w:r>
        <w:t xml:space="preserve">; el índice vectorial y el archivo documental completo del despacho, cifrados en reposo; y la bitácora de auditoría de cada interacción (quién consultó qué, cuándo, con qué fuentes)</w:t>
      </w:r>
      <w:r>
        <w:t xml:space="preserve"> </w:t>
      </w:r>
      <w:fldSimple w:instr="NOTEREF _Ref_Footnote_28 \h \f">
        <w:r>
          <w:rPr>
            <w:vertAlign w:val="superscript"/>
          </w:rPr>
          <w:t>28</w:t>
        </w:r>
      </w:fldSimple>
      <w:r>
        <w:t xml:space="preserve">. El</w:t>
      </w:r>
      <w:r>
        <w:t xml:space="preserve"> </w:t>
      </w:r>
      <w:r>
        <w:rPr>
          <w:bCs/>
          <w:b/>
        </w:rPr>
        <w:t xml:space="preserve">perímetro público</w:t>
      </w:r>
      <w:r>
        <w:t xml:space="preserve"> </w:t>
      </w:r>
      <w:r>
        <w:t xml:space="preserve">es el corpus oficial mexicano (DOF, LeyesBiblio, SJF, Orden Jurídico, gacetas estatales), que se sincroniza diariamente desde la plataforma hacia el nodo del cliente mediante actualizaciones firmadas: la legislación y la jurisprudencia no son datos del cliente, así que pueden fluir sin restricción.</w:t>
      </w:r>
    </w:p>
    <w:p>
      <w:pPr>
        <w:pStyle w:val="BodyText"/>
      </w:pPr>
      <w:r>
        <w:t xml:space="preserve">El hardware dejó de ser barrera. Un</w:t>
      </w:r>
      <w:r>
        <w:t xml:space="preserve"> </w:t>
      </w:r>
      <w:r>
        <w:rPr>
          <w:bCs/>
          <w:b/>
        </w:rPr>
        <w:t xml:space="preserve">NVIDIA DGX Spark</w:t>
      </w:r>
      <w:r>
        <w:t xml:space="preserve"> </w:t>
      </w:r>
      <w:r>
        <w:t xml:space="preserve">(~USD 3,000–4,000, 128 GB de memoria unificada) sirve modelos de 70B en FP16 y cabe en un escritorio con 170 W de consumo; una</w:t>
      </w:r>
      <w:r>
        <w:t xml:space="preserve"> </w:t>
      </w:r>
      <w:r>
        <w:rPr>
          <w:bCs/>
          <w:b/>
        </w:rPr>
        <w:t xml:space="preserve">estación RTX PRO 6000 Blackwell</w:t>
      </w:r>
      <w:r>
        <w:t xml:space="preserve"> </w:t>
      </w:r>
      <w:r>
        <w:t xml:space="preserve">(96 GB GDDR7, sistema completo ~USD 15,000–25,000) sirve el mismo modelo a velocidad de producción para decenas de abogados concurrentes</w:t>
      </w:r>
      <w:r>
        <w:t xml:space="preserve"> </w:t>
      </w:r>
      <w:fldSimple w:instr="NOTEREF _Ref_Footnote_17 \h \f">
        <w:r>
          <w:rPr>
            <w:vertAlign w:val="superscript"/>
          </w:rPr>
          <w:t>17</w:t>
        </w:r>
      </w:fldSimple>
      <w:r>
        <w:t xml:space="preserve"> </w:t>
      </w:r>
      <w:r>
        <w:rPr>
          <w:vertAlign w:val="superscript"/>
        </w:rPr>
        <w:footnoteReference w:id="61"/>
      </w:r>
      <w:r>
        <w:t xml:space="preserve">. Y aquí la decisión de usar un</w:t>
      </w:r>
      <w:r>
        <w:t xml:space="preserve"> </w:t>
      </w:r>
      <w:r>
        <w:rPr>
          <w:bCs/>
          <w:b/>
        </w:rPr>
        <w:t xml:space="preserve">modelo destilado de 7B–32B</w:t>
      </w:r>
      <w:r>
        <w:t xml:space="preserve"> </w:t>
      </w:r>
      <w:r>
        <w:t xml:space="preserve">(sección 7) paga doble: un modelo de ese tamaño corre holgado en un solo GPU de consumo-profesional, así que un despacho de 50–200 abogados necesita uno o dos nodos —MXN 300,000–1,000,000 de inversión única— en lugar de un clúster. La opción intermedia (VPC privada single-tenant) queda disponible para firmas sin centro de datos propio</w:t>
      </w:r>
      <w:r>
        <w:t xml:space="preserve"> </w:t>
      </w:r>
      <w:fldSimple w:instr="NOTEREF _Ref_Footnote_28 \h \f">
        <w:r>
          <w:rPr>
            <w:vertAlign w:val="superscript"/>
          </w:rPr>
          <w:t>28</w:t>
        </w:r>
      </w:fldSimple>
      <w:r>
        <w:t xml:space="preserve">.</w:t>
      </w:r>
    </w:p>
    <w:bookmarkEnd w:id="44"/>
    <w:bookmarkStart w:id="45" w:name="Xbfa225eceebbd893fc43b4386d52980e0d645d6"/>
    <w:p>
      <w:pPr>
        <w:pStyle w:val="Heading3"/>
      </w:pPr>
      <w:r>
        <w:t xml:space="preserve">5.3 El servicio empaquetado: licencia, instalación y archivo histórico</w:t>
      </w:r>
    </w:p>
    <w:p>
      <w:pPr>
        <w:pStyle w:val="FirstParagraph"/>
      </w:pPr>
      <w:r>
        <w:t xml:space="preserve">El Nivel 2 se vende como</w:t>
      </w:r>
      <w:r>
        <w:t xml:space="preserve"> </w:t>
      </w:r>
      <w:r>
        <w:rPr>
          <w:bCs/>
          <w:b/>
        </w:rPr>
        <w:t xml:space="preserve">licencia anual + proyecto de despliegue</w:t>
      </w:r>
      <w:r>
        <w:t xml:space="preserve">, no como SaaS por asiento. Los componentes del paquete: (a) licencia del núcleo (motor RAG, modelo destilado, resolvedor de citas, actualizaciones diarias del corpus, panel de auditoría); (b) instalación on-premise o en VPC del cliente, con afinado opcional del modelo sobre documentos internos anonimizados del despacho —el patrón que Harvey ofrece a sus clientes enterprise y que las consultoras de despliegue privado ya comercializan</w:t>
      </w:r>
      <w:r>
        <w:t xml:space="preserve"> </w:t>
      </w:r>
      <w:fldSimple w:instr="NOTEREF _Ref_Footnote_30 \h \f">
        <w:r>
          <w:rPr>
            <w:vertAlign w:val="superscript"/>
          </w:rPr>
          <w:t>30</w:t>
        </w:r>
      </w:fldSimple>
      <w:r>
        <w:t xml:space="preserve"> </w:t>
      </w:r>
      <w:fldSimple w:instr="NOTEREF _Ref_Footnote_28 \h \f">
        <w:r>
          <w:rPr>
            <w:vertAlign w:val="superscript"/>
          </w:rPr>
          <w:t>28</w:t>
        </w:r>
      </w:fldSimple>
      <w:r>
        <w:t xml:space="preserve">—; (c)</w:t>
      </w:r>
      <w:r>
        <w:t xml:space="preserve"> </w:t>
      </w:r>
      <w:r>
        <w:rPr>
          <w:bCs/>
          <w:b/>
        </w:rPr>
        <w:t xml:space="preserve">digitalización del archivo histórico</w:t>
      </w:r>
      <w:r>
        <w:t xml:space="preserve">: OCR masivo del acervo físico y escaneado del despacho, con extracción estructurada y búsqueda de texto completo, el servicio que por sí solo justifica el proyecto para firmas con décadas de papel; (d) mantenimiento, monitoreo de precisión y</w:t>
      </w:r>
      <w:r>
        <w:t xml:space="preserve"> </w:t>
      </w:r>
      <w:r>
        <w:rPr>
          <w:bCs/>
          <w:b/>
        </w:rPr>
        <w:t xml:space="preserve">reemplazo periódico del modelo base</w:t>
      </w:r>
      <w:r>
        <w:t xml:space="preserve"> </w:t>
      </w:r>
      <w:r>
        <w:t xml:space="preserve">conforme mejoren los pesos abiertos, con la política de</w:t>
      </w:r>
      <w:r>
        <w:t xml:space="preserve"> </w:t>
      </w:r>
      <w:r>
        <w:rPr>
          <w:iCs/>
          <w:i/>
        </w:rPr>
        <w:t xml:space="preserve">human in the loop</w:t>
      </w:r>
      <w:r>
        <w:t xml:space="preserve"> </w:t>
      </w:r>
      <w:r>
        <w:t xml:space="preserve">como compuerta de producto</w:t>
      </w:r>
      <w:r>
        <w:t xml:space="preserve"> </w:t>
      </w:r>
      <w:fldSimple w:instr="NOTEREF _Ref_Footnote_31 \h \f">
        <w:r>
          <w:rPr>
            <w:vertAlign w:val="superscript"/>
          </w:rPr>
          <w:t>31</w:t>
        </w:r>
      </w:fldSimple>
      <w:r>
        <w:t xml:space="preserve">.</w:t>
      </w:r>
    </w:p>
    <w:p>
      <w:pPr>
        <w:pStyle w:val="BodyText"/>
      </w:pPr>
      <w:r>
        <w:t xml:space="preserve">El anclaje de precio es favorable: el piso de Harvey es ~USD 288,000/año por 20 usuarios en modalidad nube</w:t>
      </w:r>
      <w:r>
        <w:t xml:space="preserve"> </w:t>
      </w:r>
      <w:fldSimple w:instr="NOTEREF _Ref_Footnote_30 \h \f">
        <w:r>
          <w:rPr>
            <w:vertAlign w:val="superscript"/>
          </w:rPr>
          <w:t>30</w:t>
        </w:r>
      </w:fldSimple>
      <w:r>
        <w:t xml:space="preserve">; CoCounsel cuesta USD 225–428/usuario/mes</w:t>
      </w:r>
      <w:r>
        <w:t xml:space="preserve"> </w:t>
      </w:r>
      <w:fldSimple w:instr="NOTEREF _Ref_Footnote_21 \h \f">
        <w:r>
          <w:rPr>
            <w:vertAlign w:val="superscript"/>
          </w:rPr>
          <w:t>21</w:t>
        </w:r>
      </w:fldSimple>
      <w:r>
        <w:t xml:space="preserve">. Una licencia Nivel 2 en el rango de</w:t>
      </w:r>
      <w:r>
        <w:t xml:space="preserve"> </w:t>
      </w:r>
      <w:r>
        <w:rPr>
          <w:bCs/>
          <w:b/>
        </w:rPr>
        <w:t xml:space="preserve">MXN 1.5–6 millones anuales</w:t>
      </w:r>
      <w:r>
        <w:t xml:space="preserve"> </w:t>
      </w:r>
      <w:r>
        <w:t xml:space="preserve">según tamaño (más instalación y OCR como servicios) queda por debajo o en paridad, con tres argumentos que esas referencias no tienen: los datos no salen del edificio, el corpus mexicano completo viene incluido y el precio está en pesos. El retorno se apoya en eficiencias documentadas en el mercado hispanohablante: reducciones reportadas de hasta 60% en tiempo de redacción y 70% en investigación preliminar, siempre con revisión humana</w:t>
      </w:r>
      <w:r>
        <w:t xml:space="preserve"> </w:t>
      </w:r>
      <w:r>
        <w:rPr>
          <w:vertAlign w:val="superscript"/>
        </w:rPr>
        <w:footnoteReference w:id="62"/>
      </w:r>
      <w:r>
        <w:t xml:space="preserve">.</w:t>
      </w:r>
    </w:p>
    <w:bookmarkEnd w:id="45"/>
    <w:bookmarkStart w:id="46" w:name="X005af37b57f6bd16e4393b2df87aea54b5bf6ab"/>
    <w:p>
      <w:pPr>
        <w:pStyle w:val="Heading3"/>
      </w:pPr>
      <w:r>
        <w:t xml:space="preserve">5.4 Por qué el Nivel 2 fortalece (y no canibaliza) a los niveles 0 y 1</w:t>
      </w:r>
    </w:p>
    <w:p>
      <w:pPr>
        <w:pStyle w:val="FirstParagraph"/>
      </w:pPr>
      <w:r>
        <w:t xml:space="preserve">La objeción natural es que vender al gran despacho compita con vender al abogado independiente. El análisis muestra lo contrario: los segmentos no se solapan (el despacho de 100 abogados nunca pagaría MXN 499 por asiento; el abogado solo nunca pagará una licencia empresarial), y la existencia del Nivel 2</w:t>
      </w:r>
      <w:r>
        <w:t xml:space="preserve"> </w:t>
      </w:r>
      <w:r>
        <w:rPr>
          <w:bCs/>
          <w:b/>
        </w:rPr>
        <w:t xml:space="preserve">eleva la credibilidad de todo el sistema</w:t>
      </w:r>
      <w:r>
        <w:t xml:space="preserve"> </w:t>
      </w:r>
      <w:r>
        <w:t xml:space="preserve">—</w:t>
      </w:r>
      <w:r>
        <w:t xml:space="preserve">“</w:t>
      </w:r>
      <w:r>
        <w:t xml:space="preserve">la misma tecnología que el despacho X corre en sus servidores</w:t>
      </w:r>
      <w:r>
        <w:t xml:space="preserve">”</w:t>
      </w:r>
      <w:r>
        <w:t xml:space="preserve"> </w:t>
      </w:r>
      <w:r>
        <w:t xml:space="preserve">es el mejor argumento de venta del Nivel 1 y la mejor garantía de seriedad del Nivel 0. Además, el Nivel 2 obliga a construir con rigor lo que los otros niveles aprovechan gratis: actualizaciones firmadas del corpus, bitácoras de auditoría, abstención ante baja confianza y pruebas de precisión continuas.</w:t>
      </w:r>
    </w:p>
    <w:p>
      <w:pPr>
        <w:pStyle w:val="BodyText"/>
      </w:pPr>
      <w:r>
        <w:t xml:space="preserve">La experiencia de mercado apunta en la misma dirección: Harvey y los proveedores de despliegue privado demuestran que el presupuesto empresarial existe y crece, mientras el benchmark independiente recuerda que la fiabilidad —no la potencia bruta del modelo— es lo que el comprador empresarial evalúa</w:t>
      </w:r>
      <w:r>
        <w:t xml:space="preserve"> </w:t>
      </w:r>
      <w:fldSimple w:instr="NOTEREF _Ref_Footnote_30 \h \f">
        <w:r>
          <w:rPr>
            <w:vertAlign w:val="superscript"/>
          </w:rPr>
          <w:t>30</w:t>
        </w:r>
      </w:fldSimple>
      <w:r>
        <w:t xml:space="preserve"> </w:t>
      </w:r>
      <w:fldSimple w:instr="NOTEREF _Ref_Footnote_51 \h \f">
        <w:r>
          <w:rPr>
            <w:vertAlign w:val="superscript"/>
          </w:rPr>
          <w:t>51</w:t>
        </w:r>
      </w:fldSimple>
      <w:r>
        <w:t xml:space="preserve">. Un despacho que evalúa IA en 2026 pregunta tres cosas: ¿dónde están mis datos?, ¿las citas son reales? y ¿quién responde si falla? El Nivel 2 responde las tres por diseño: en su firewall, verificadas contra registro, y con el abogado del despacho firmando siempre el producto final.</w:t>
      </w:r>
    </w:p>
    <w:p>
      <w:r>
        <w:pict>
          <v:rect style="width:0;height:1.5pt" o:hralign="center" o:hrstd="t" o:hr="t"/>
        </w:pict>
      </w:r>
    </w:p>
    <w:bookmarkEnd w:id="46"/>
    <w:bookmarkEnd w:id="47"/>
    <w:bookmarkStart w:id="48" w:name="X762136efcd6061b6305d1318b3c25ecd173df8c"/>
    <w:p>
      <w:pPr>
        <w:pStyle w:val="Heading2"/>
      </w:pPr>
      <w:r>
        <w:t xml:space="preserve">6. OCR y análisis documental: la capacidad transversal</w:t>
      </w:r>
    </w:p>
    <w:p>
      <w:pPr>
        <w:pStyle w:val="FirstParagraph"/>
      </w:pPr>
      <w:r>
        <w:t xml:space="preserve">El OCR es</w:t>
      </w:r>
      <w:r>
        <w:t xml:space="preserve"> </w:t>
      </w:r>
      <w:r>
        <w:rPr>
          <w:bCs/>
          <w:b/>
        </w:rPr>
        <w:t xml:space="preserve">capacidad del núcleo</w:t>
      </w:r>
      <w:r>
        <w:t xml:space="preserve">, no un extra, porque los tres niveles la necesitan para casos de uso distintos. El estado del arte en 2026 ya no es el OCR de caracteres aislados sino el</w:t>
      </w:r>
      <w:r>
        <w:t xml:space="preserve"> </w:t>
      </w:r>
      <w:r>
        <w:rPr>
          <w:bCs/>
          <w:b/>
        </w:rPr>
        <w:t xml:space="preserve">OCR sensible al diseño</w:t>
      </w:r>
      <w:r>
        <w:t xml:space="preserve"> </w:t>
      </w:r>
      <w:r>
        <w:t xml:space="preserve">(</w:t>
      </w:r>
      <w:r>
        <w:rPr>
          <w:iCs/>
          <w:i/>
        </w:rPr>
        <w:t xml:space="preserve">layout-aware</w:t>
      </w:r>
      <w:r>
        <w:t xml:space="preserve">): modelos como LayoutLMv3, TrOCR o Donut que combinan detección de texto, reconocimiento y comprensión de la estructura del documento, con precisión superior al 98% en texto impreso de calidad y técnicas de preprocesamiento (corrección de inclinación, mejora de contraste, manejo de sellos y timbres) específicamente documentadas para contratos y documentos judiciales escaneados</w:t>
      </w:r>
      <w:r>
        <w:t xml:space="preserve"> </w:t>
      </w:r>
      <w:r>
        <w:rPr>
          <w:vertAlign w:val="superscript"/>
        </w:rPr>
        <w:footnoteReference w:id="63"/>
      </w:r>
      <w:r>
        <w:t xml:space="preserve"> </w:t>
      </w:r>
      <w:r>
        <w:rPr>
          <w:vertAlign w:val="superscript"/>
        </w:rPr>
        <w:footnoteReference w:id="64"/>
      </w:r>
      <w:r>
        <w:t xml:space="preserve">. La salida no es texto crudo sino</w:t>
      </w:r>
      <w:r>
        <w:t xml:space="preserve"> </w:t>
      </w:r>
      <w:r>
        <w:rPr>
          <w:bCs/>
          <w:b/>
        </w:rPr>
        <w:t xml:space="preserve">datos estructurados</w:t>
      </w:r>
      <w:r>
        <w:t xml:space="preserve"> </w:t>
      </w:r>
      <w:r>
        <w:t xml:space="preserve">—partes, fechas, montos, cláusulas, números de expediente— listos para alimentar el RAG, un DMS o un tablero de análisis</w:t>
      </w:r>
      <w:r>
        <w:t xml:space="preserve"> </w:t>
      </w:r>
      <w:fldSimple w:instr="NOTEREF _Ref_Footnote_54 \h \f">
        <w:r>
          <w:rPr>
            <w:vertAlign w:val="superscript"/>
          </w:rPr>
          <w:t>54</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Caso de uso</w:t>
            </w:r>
          </w:p>
        </w:tc>
        <w:tc>
          <w:tcPr/>
          <w:p>
            <w:pPr>
              <w:pStyle w:val="Compact"/>
              <w:jc w:val="left"/>
            </w:pPr>
            <w:r>
              <w:t xml:space="preserve">Nivel 0 (ciudadano)</w:t>
            </w:r>
          </w:p>
        </w:tc>
        <w:tc>
          <w:tcPr/>
          <w:p>
            <w:pPr>
              <w:pStyle w:val="Compact"/>
              <w:jc w:val="left"/>
            </w:pPr>
            <w:r>
              <w:t xml:space="preserve">Nivel 1 (abogado)</w:t>
            </w:r>
          </w:p>
        </w:tc>
        <w:tc>
          <w:tcPr/>
          <w:p>
            <w:pPr>
              <w:pStyle w:val="Compact"/>
              <w:jc w:val="left"/>
            </w:pPr>
            <w:r>
              <w:t xml:space="preserve">Nivel 2 (gran despacho)</w:t>
            </w:r>
          </w:p>
        </w:tc>
      </w:tr>
      <w:tr>
        <w:tc>
          <w:tcPr/>
          <w:p>
            <w:pPr>
              <w:pStyle w:val="Compact"/>
              <w:jc w:val="left"/>
            </w:pPr>
            <w:r>
              <w:t xml:space="preserve">Documento típico</w:t>
            </w:r>
          </w:p>
        </w:tc>
        <w:tc>
          <w:tcPr/>
          <w:p>
            <w:pPr>
              <w:pStyle w:val="Compact"/>
              <w:jc w:val="left"/>
            </w:pPr>
            <w:r>
              <w:t xml:space="preserve">Foto del contrato, multa o carta del usuario</w:t>
            </w:r>
          </w:p>
        </w:tc>
        <w:tc>
          <w:tcPr/>
          <w:p>
            <w:pPr>
              <w:pStyle w:val="Compact"/>
              <w:jc w:val="left"/>
            </w:pPr>
            <w:r>
              <w:t xml:space="preserve">Expedientes escaneados, demandas, pruebas</w:t>
            </w:r>
          </w:p>
        </w:tc>
        <w:tc>
          <w:tcPr/>
          <w:p>
            <w:pPr>
              <w:pStyle w:val="Compact"/>
              <w:jc w:val="left"/>
            </w:pPr>
            <w:r>
              <w:t xml:space="preserve">Archivo histórico masivo, escrituras, due diligence</w:t>
            </w:r>
          </w:p>
        </w:tc>
      </w:tr>
      <w:tr>
        <w:tc>
          <w:tcPr/>
          <w:p>
            <w:pPr>
              <w:pStyle w:val="Compact"/>
              <w:jc w:val="left"/>
            </w:pPr>
            <w:r>
              <w:t xml:space="preserve">Servicio</w:t>
            </w:r>
          </w:p>
        </w:tc>
        <w:tc>
          <w:tcPr/>
          <w:p>
            <w:pPr>
              <w:pStyle w:val="Compact"/>
              <w:jc w:val="left"/>
            </w:pPr>
            <w:r>
              <w:t xml:space="preserve">“</w:t>
            </w:r>
            <w:r>
              <w:t xml:space="preserve">Súbele foto a tu documento y pregúntale</w:t>
            </w:r>
            <w:r>
              <w:t xml:space="preserve">”</w:t>
            </w:r>
          </w:p>
        </w:tc>
        <w:tc>
          <w:tcPr/>
          <w:p>
            <w:pPr>
              <w:pStyle w:val="Compact"/>
              <w:jc w:val="left"/>
            </w:pPr>
            <w:r>
              <w:t xml:space="preserve">OCR bajo demanda + extracción de datos del expediente cifrado</w:t>
            </w:r>
          </w:p>
        </w:tc>
        <w:tc>
          <w:tcPr/>
          <w:p>
            <w:pPr>
              <w:pStyle w:val="Compact"/>
              <w:jc w:val="left"/>
            </w:pPr>
            <w:r>
              <w:t xml:space="preserve">Proyecto de digitalización del acervo + búsqueda full-text + analítica</w:t>
            </w:r>
          </w:p>
        </w:tc>
      </w:tr>
      <w:tr>
        <w:tc>
          <w:tcPr/>
          <w:p>
            <w:pPr>
              <w:pStyle w:val="Compact"/>
              <w:jc w:val="left"/>
            </w:pPr>
            <w:r>
              <w:t xml:space="preserve">Valor</w:t>
            </w:r>
          </w:p>
        </w:tc>
        <w:tc>
          <w:tcPr/>
          <w:p>
            <w:pPr>
              <w:pStyle w:val="Compact"/>
              <w:jc w:val="left"/>
            </w:pPr>
            <w:r>
              <w:t xml:space="preserve">Lenguaje llano sobre papel real</w:t>
            </w:r>
          </w:p>
        </w:tc>
        <w:tc>
          <w:tcPr/>
          <w:p>
            <w:pPr>
              <w:pStyle w:val="Compact"/>
              <w:jc w:val="left"/>
            </w:pPr>
            <w:r>
              <w:t xml:space="preserve">Horas de transcripción eliminadas</w:t>
            </w:r>
          </w:p>
        </w:tc>
        <w:tc>
          <w:tcPr/>
          <w:p>
            <w:pPr>
              <w:pStyle w:val="Compact"/>
              <w:jc w:val="left"/>
            </w:pPr>
            <w:r>
              <w:t xml:space="preserve">El archivo de décadas se vuelve activo consultable</w:t>
            </w:r>
          </w:p>
        </w:tc>
      </w:tr>
    </w:tbl>
    <w:p>
      <w:pPr>
        <w:pStyle w:val="BodyText"/>
      </w:pPr>
      <w:r>
        <w:t xml:space="preserve">La implicación económica es relevante: en el Nivel 0, el OCR es lo que permite que una persona sin ningún documento digital —solo su contrato impreso o la multa en la mano— use el servicio con la cámara del teléfono; en el Nivel 1, es la función que el abogado percibe como ahorro inmediato (transcribir y buscar en expedientes escaneados es de las tareas que más tiempo consumen en la práctica diaria, junto con la búsqueda de jurisprudencia, estimada en ~15 horas semanales por LemonTech)</w:t>
      </w:r>
      <w:r>
        <w:t xml:space="preserve"> </w:t>
      </w:r>
      <w:fldSimple w:instr="NOTEREF _Ref_Footnote_14 \h \f">
        <w:r>
          <w:rPr>
            <w:vertAlign w:val="superscript"/>
          </w:rPr>
          <w:t>14</w:t>
        </w:r>
      </w:fldSimple>
      <w:r>
        <w:t xml:space="preserve">; y en el Nivel 2, es el proyecto de entrada con valor tangible y medible que abre la puerta a la licencia completa. Construido una vez en el núcleo —con datasets de ruido de escaneo real, sellos sintéticos y ajuste por jurisdicción, como prescribe la literatura técnica—, el mismo pipeline sirve a los tres</w:t>
      </w:r>
      <w:r>
        <w:t xml:space="preserve"> </w:t>
      </w:r>
      <w:fldSimple w:instr="NOTEREF _Ref_Footnote_63 \h \f">
        <w:r>
          <w:rPr>
            <w:vertAlign w:val="superscript"/>
          </w:rPr>
          <w:t>63</w:t>
        </w:r>
      </w:fldSimple>
      <w:r>
        <w:t xml:space="preserve">.</w:t>
      </w:r>
    </w:p>
    <w:bookmarkEnd w:id="48"/>
    <w:bookmarkStart w:id="58" w:name="X9c5bc78ad7895f9d27f131eb75795df595841cb"/>
    <w:p>
      <w:pPr>
        <w:pStyle w:val="Heading2"/>
      </w:pPr>
      <w:r>
        <w:t xml:space="preserve">7. El motor de precisión: LLM destilado + RAG con verificación de citas</w:t>
      </w:r>
    </w:p>
    <w:p>
      <w:pPr>
        <w:pStyle w:val="FirstParagraph"/>
      </w:pPr>
      <w:r>
        <w:t xml:space="preserve">Esta es la sección técnica central del plan. Responde a una pregunta que cualquier socio, inversionista o despacho del Nivel 2 hará:</w:t>
      </w:r>
      <w:r>
        <w:t xml:space="preserve"> </w:t>
      </w:r>
      <w:r>
        <w:rPr>
          <w:bCs/>
          <w:b/>
        </w:rPr>
        <w:t xml:space="preserve">¿por qué confiar en un modelo propio y pequeño en lugar de rentar GPT o Claude?</w:t>
      </w:r>
      <w:r>
        <w:t xml:space="preserve"> </w:t>
      </w:r>
      <w:r>
        <w:t xml:space="preserve">La respuesta tiene tres patas: (a) en un dominio cerrado como el derecho mexicano, un modelo especializado ya demostró superar a los generalistas; (b) la combinación destilación + RAG + verificación reduce las alucinaciones a niveles marginales y, más importante,</w:t>
      </w:r>
      <w:r>
        <w:t xml:space="preserve"> </w:t>
      </w:r>
      <w:r>
        <w:rPr>
          <w:bCs/>
          <w:b/>
        </w:rPr>
        <w:t xml:space="preserve">detectables</w:t>
      </w:r>
      <w:r>
        <w:t xml:space="preserve">; y (c) la economía del modelo pequeño es lo que hace viables los precios de los niveles 0 y 1 y el despliegue local del Nivel 2.</w:t>
      </w:r>
    </w:p>
    <w:bookmarkStart w:id="49" w:name="X5c749c029faa41546f21d37e4b7a058df53cdc8"/>
    <w:p>
      <w:pPr>
        <w:pStyle w:val="Heading3"/>
      </w:pPr>
      <w:r>
        <w:t xml:space="preserve">7.1 El problema: por qué los modelos frontera fallan en derecho mexicano</w:t>
      </w:r>
    </w:p>
    <w:p>
      <w:pPr>
        <w:pStyle w:val="FirstParagraph"/>
      </w:pPr>
      <w:r>
        <w:t xml:space="preserve">Los modelos frontera de propósito general tienen tres debilidades estructurales en este caso de uso. La primera es de</w:t>
      </w:r>
      <w:r>
        <w:t xml:space="preserve"> </w:t>
      </w:r>
      <w:r>
        <w:rPr>
          <w:bCs/>
          <w:b/>
        </w:rPr>
        <w:t xml:space="preserve">cobertura</w:t>
      </w:r>
      <w:r>
        <w:t xml:space="preserve">: su entrenamiento incluye poco derecho mexicano y casi nada de legislación estatal, criterios de tribunales colegiados o doctrina administrativa; lo que no está en los pesos, el modelo lo inventa con fluidez. La segunda es de</w:t>
      </w:r>
      <w:r>
        <w:t xml:space="preserve"> </w:t>
      </w:r>
      <w:r>
        <w:rPr>
          <w:bCs/>
          <w:b/>
        </w:rPr>
        <w:t xml:space="preserve">vigencia</w:t>
      </w:r>
      <w:r>
        <w:t xml:space="preserve">: el marco normativo mexicano cambia con alta frecuencia (reformas constitucionales, nueva LFPDPPP, nuevos códigos nacionales), y un modelo cuyo conocimiento quedó congelado en su fecha de entrenamiento citará textos derogados con total confianza</w:t>
      </w:r>
      <w:r>
        <w:t xml:space="preserve"> </w:t>
      </w:r>
      <w:fldSimple w:instr="NOTEREF _Ref_Footnote_23 \h \f">
        <w:r>
          <w:rPr>
            <w:vertAlign w:val="superscript"/>
          </w:rPr>
          <w:t>23</w:t>
        </w:r>
      </w:fldSimple>
      <w:r>
        <w:t xml:space="preserve"> </w:t>
      </w:r>
      <w:fldSimple w:instr="NOTEREF _Ref_Footnote_18 \h \f">
        <w:r>
          <w:rPr>
            <w:vertAlign w:val="superscript"/>
          </w:rPr>
          <w:t>18</w:t>
        </w:r>
      </w:fldSimple>
      <w:r>
        <w:t xml:space="preserve">. La tercera es de</w:t>
      </w:r>
      <w:r>
        <w:t xml:space="preserve"> </w:t>
      </w:r>
      <w:r>
        <w:rPr>
          <w:bCs/>
          <w:b/>
        </w:rPr>
        <w:t xml:space="preserve">trazabilidad</w:t>
      </w:r>
      <w:r>
        <w:t xml:space="preserve">: un modelo general no puede vincular cada afirmación a un registro oficial verificable, y la medición independiente muestra las consecuencias —el estudio de Stanford HAI documentó tasas de alucinación de citas superiores al 17% en Lexis+ AI y al 34% en Westlaw AI, los dos productos jurídicos más grandes del mundo</w:t>
      </w:r>
      <w:r>
        <w:t xml:space="preserve"> </w:t>
      </w:r>
      <w:fldSimple w:instr="NOTEREF _Ref_Footnote_21 \h \f">
        <w:r>
          <w:rPr>
            <w:vertAlign w:val="superscript"/>
          </w:rPr>
          <w:t>21</w:t>
        </w:r>
      </w:fldSimple>
      <w:r>
        <w:t xml:space="preserve">.</w:t>
      </w:r>
    </w:p>
    <w:p>
      <w:pPr>
        <w:pStyle w:val="BodyText"/>
      </w:pPr>
      <w:r>
        <w:t xml:space="preserve">El fenómeno tiene una explicación conocida: los modelos de lenguaje predicen texto plausible, no texto verdadero, y la mayoría de los regímenes de entrenamiento y evaluación premia la respuesta confiada sobre la admisión de incertidumbre, de modo que el modelo aprende a adivinar en lugar de abstenerse</w:t>
      </w:r>
      <w:r>
        <w:t xml:space="preserve"> </w:t>
      </w:r>
      <w:r>
        <w:rPr>
          <w:vertAlign w:val="superscript"/>
        </w:rPr>
        <w:footnoteReference w:id="65"/>
      </w:r>
      <w:r>
        <w:t xml:space="preserve">. En producción, las tasas de alucinación varían drásticamente según la forma de la tarea: los sistemas de preguntas y respuestas</w:t>
      </w:r>
      <w:r>
        <w:t xml:space="preserve"> </w:t>
      </w:r>
      <w:r>
        <w:rPr>
          <w:bCs/>
          <w:b/>
        </w:rPr>
        <w:t xml:space="preserve">extractivas y ancladas a documentos</w:t>
      </w:r>
      <w:r>
        <w:t xml:space="preserve"> </w:t>
      </w:r>
      <w:r>
        <w:t xml:space="preserve">alucinan en 3–8% de los casos, mientras la generación abierta sin anclaje lo hace en 15–25%</w:t>
      </w:r>
      <w:r>
        <w:t xml:space="preserve"> </w:t>
      </w:r>
      <w:fldSimple w:instr="NOTEREF _Ref_Footnote_34 \h \f">
        <w:r>
          <w:rPr>
            <w:vertAlign w:val="superscript"/>
          </w:rPr>
          <w:t>34</w:t>
        </w:r>
      </w:fldSimple>
      <w:r>
        <w:t xml:space="preserve">. La lección de diseño es directa: hay que convertir la consulta jurídica —que parece una tarea abierta— en una tarea anclada a fuentes recuperadas. Eso es exactamente lo que hace el RAG, y es la razón por la que la arquitectura importa más que el tamaño del modelo.</w:t>
      </w:r>
    </w:p>
    <w:bookmarkEnd w:id="49"/>
    <w:bookmarkStart w:id="50" w:name="Xd432226b1b266d2fb03936403feb94385768a5f"/>
    <w:p>
      <w:pPr>
        <w:pStyle w:val="Heading3"/>
      </w:pPr>
      <w:r>
        <w:t xml:space="preserve">7.2 La evidencia: un modelo especializado pequeño puede igualar y superar a los frontera</w:t>
      </w:r>
    </w:p>
    <w:p>
      <w:pPr>
        <w:pStyle w:val="FirstParagraph"/>
      </w:pPr>
      <w:r>
        <w:t xml:space="preserve">La afirmación de que un modelo propio puede competir con los frontera no es una conjetura: es el patrón mejor documentado de la industria en los últimos dos años, en tres frentes.</w:t>
      </w:r>
    </w:p>
    <w:p>
      <w:pPr>
        <w:pStyle w:val="BodyText"/>
      </w:pPr>
      <w:r>
        <w:rPr>
          <w:bCs/>
          <w:b/>
        </w:rPr>
        <w:t xml:space="preserve">Especialización de dominio.</w:t>
      </w:r>
      <w:r>
        <w:t xml:space="preserve"> </w:t>
      </w:r>
      <w:r>
        <w:t xml:space="preserve">SaulLM-7B, el primer LLM entrenado específicamente para derecho, tomó un Mistral-7B genérico y lo sometió a pre-entrenamiento continuado sobre</w:t>
      </w:r>
      <w:r>
        <w:t xml:space="preserve"> </w:t>
      </w:r>
      <w:r>
        <w:rPr>
          <w:bCs/>
          <w:b/>
        </w:rPr>
        <w:t xml:space="preserve">30,000 millones de tokens de corpus jurídico</w:t>
      </w:r>
      <w:r>
        <w:t xml:space="preserve">, seguido de ajuste por instrucciones legales. Resultado: estado del arte en LegalBench-Instruct con 0.61 de promedio —una mejora relativa del 11% sobre el mejor modelo abierto de instrucción de su época— y superioridad consistente en las cuatro capacidades que más conocimiento jurídico exigen (detección de issues, recuerdo de reglas, interpretación y comprensión retórica), con licencia abierta</w:t>
      </w:r>
      <w:r>
        <w:t xml:space="preserve"> </w:t>
      </w:r>
      <w:fldSimple w:instr="NOTEREF _Ref_Footnote_5 \h \f">
        <w:r>
          <w:rPr>
            <w:vertAlign w:val="superscript"/>
          </w:rPr>
          <w:t>5</w:t>
        </w:r>
      </w:fldSimple>
      <w:r>
        <w:t xml:space="preserve">. La conclusión de los autores es la tesis de este proyecto: la adaptación de dominio supera a la escala genérica en las tareas del dominio.</w:t>
      </w:r>
    </w:p>
    <w:p>
      <w:pPr>
        <w:pStyle w:val="BodyText"/>
      </w:pPr>
      <w:r>
        <w:rPr>
          <w:bCs/>
          <w:b/>
        </w:rPr>
        <w:t xml:space="preserve">Destilación de razonamiento.</w:t>
      </w:r>
      <w:r>
        <w:t xml:space="preserve"> </w:t>
      </w:r>
      <w:r>
        <w:t xml:space="preserve">DeepSeek demostró que los patrones de razonamiento de un modelo frontera pueden transferirse a modelos pequeños mediante destilación: su R1-Distill-Qwen-32B —un modelo de 32,000 millones de parámetros que cabe en un solo GPU— alcanzó</w:t>
      </w:r>
      <w:r>
        <w:t xml:space="preserve"> </w:t>
      </w:r>
      <w:r>
        <w:rPr>
          <w:bCs/>
          <w:b/>
        </w:rPr>
        <w:t xml:space="preserve">72.6% en AIME 2024, superando al propio o1-mini de OpenAI (63.6%)</w:t>
      </w:r>
      <w:r>
        <w:t xml:space="preserve">, y su versión de apenas 1.5B superó a GPT-4o y Claude 3.5 Sonnet en MATH-500 (83.9% vs. 74.6% y 78.3%)</w:t>
      </w:r>
      <w:r>
        <w:t xml:space="preserve"> </w:t>
      </w:r>
      <w:fldSimple w:instr="NOTEREF _Ref_Footnote_7 \h \f">
        <w:r>
          <w:rPr>
            <w:vertAlign w:val="superscript"/>
          </w:rPr>
          <w:t>7</w:t>
        </w:r>
      </w:fldSimple>
      <w:r>
        <w:t xml:space="preserve"> </w:t>
      </w:r>
      <w:r>
        <w:rPr>
          <w:vertAlign w:val="superscript"/>
        </w:rPr>
        <w:footnoteReference w:id="66"/>
      </w:r>
      <w:r>
        <w:t xml:space="preserve">. El mecanismo es la clave económica de todo el plan: una vez que existe un modelo frontera, el modelo</w:t>
      </w:r>
      <w:r>
        <w:t xml:space="preserve"> </w:t>
      </w:r>
      <w:r>
        <w:t xml:space="preserve">“</w:t>
      </w:r>
      <w:r>
        <w:t xml:space="preserve">alumno</w:t>
      </w:r>
      <w:r>
        <w:t xml:space="preserve">”</w:t>
      </w:r>
      <w:r>
        <w:t xml:space="preserve"> </w:t>
      </w:r>
      <w:r>
        <w:t xml:space="preserve">no necesita procesar billones de tokens de internet; solo necesita</w:t>
      </w:r>
      <w:r>
        <w:t xml:space="preserve"> </w:t>
      </w:r>
      <w:r>
        <w:rPr>
          <w:bCs/>
          <w:b/>
        </w:rPr>
        <w:t xml:space="preserve">miles de ejemplos de alta calidad del maestro razonando</w:t>
      </w:r>
      <w:r>
        <w:t xml:space="preserve">, y se salta la fase costosa del descubrimiento para ir directo a la fase eficiente del aprendizaje</w:t>
      </w:r>
      <w:r>
        <w:t xml:space="preserve"> </w:t>
      </w:r>
      <w:r>
        <w:rPr>
          <w:vertAlign w:val="superscript"/>
        </w:rPr>
        <w:footnoteReference w:id="67"/>
      </w:r>
      <w:r>
        <w:t xml:space="preserve">. Aplicado al caso: el maestro razona sobre preguntas jurídicas mexicanas con las fuentes oficiales delante; el alumno aprende a razonar igual, en español jurídico mexicano, citando bien.</w:t>
      </w:r>
    </w:p>
    <w:p>
      <w:pPr>
        <w:pStyle w:val="BodyText"/>
      </w:pPr>
      <w:r>
        <w:rPr>
          <w:bCs/>
          <w:b/>
        </w:rPr>
        <w:t xml:space="preserve">Recuperación sobre memoria.</w:t>
      </w:r>
      <w:r>
        <w:t xml:space="preserve"> </w:t>
      </w:r>
      <w:r>
        <w:t xml:space="preserve">El tercer frente es el más decisivo. El estudio de Microsoft Research sobre inyección de conocimiento encontró que el RAG</w:t>
      </w:r>
      <w:r>
        <w:t xml:space="preserve"> </w:t>
      </w:r>
      <w:r>
        <w:rPr>
          <w:bCs/>
          <w:b/>
        </w:rPr>
        <w:t xml:space="preserve">mejora siempre</w:t>
      </w:r>
      <w:r>
        <w:t xml:space="preserve"> </w:t>
      </w:r>
      <w:r>
        <w:t xml:space="preserve">la precisión del modelo base y generalmente supera al fine-tuning solo, y que la combinación de ambos (el enfoque RAFT: entrenar al modelo a responder desde contexto recuperado, incluyendo pasajes distractores) rinde mejor que cualquiera de los dos por separado en dominios especializados</w:t>
      </w:r>
      <w:r>
        <w:t xml:space="preserve"> </w:t>
      </w:r>
      <w:r>
        <w:rPr>
          <w:vertAlign w:val="superscript"/>
        </w:rPr>
        <w:footnoteReference w:id="68"/>
      </w:r>
      <w:r>
        <w:t xml:space="preserve">. La magnitud de la ventaja se ve en el benchmark SimpleQA: un sistema con recuperación alcanzó</w:t>
      </w:r>
      <w:r>
        <w:t xml:space="preserve"> </w:t>
      </w:r>
      <w:r>
        <w:rPr>
          <w:bCs/>
          <w:b/>
        </w:rPr>
        <w:t xml:space="preserve">92.5% de precisión frente a 38–40% de GPT-4o sin recuperación</w:t>
      </w:r>
      <w:r>
        <w:t xml:space="preserve"> </w:t>
      </w:r>
      <w:r>
        <w:t xml:space="preserve">—más del doble, con el mismo tipo de modelo debajo</w:t>
      </w:r>
      <w:r>
        <w:t xml:space="preserve"> </w:t>
      </w:r>
      <w:r>
        <w:rPr>
          <w:vertAlign w:val="superscript"/>
        </w:rPr>
        <w:footnoteReference w:id="69"/>
      </w:r>
      <w:r>
        <w:t xml:space="preserve">. En agregado, el RAG reduce las alucinaciones entre 30% y 70% según el dominio, las baja a menos de 2% en tareas de síntesis anclada, y mejora la precisión factual ~40% respecto al LLM aislado</w:t>
      </w:r>
      <w:r>
        <w:t xml:space="preserve"> </w:t>
      </w:r>
      <w:fldSimple w:instr="NOTEREF _Ref_Footnote_8 \h \f">
        <w:r>
          <w:rPr>
            <w:vertAlign w:val="superscript"/>
          </w:rPr>
          <w:t>8</w:t>
        </w:r>
      </w:fldSimple>
      <w:r>
        <w:t xml:space="preserve">. En derecho mexicano, donde el frontera apenas tiene datos y la plataforma tiene el corpus completo y vigente, la brecha es aún mayor que esos promedios.</w:t>
      </w:r>
    </w:p>
    <w:bookmarkEnd w:id="50"/>
    <w:bookmarkStart w:id="51" w:name="la-arquitectura-en-tres-capas"/>
    <w:p>
      <w:pPr>
        <w:pStyle w:val="Heading3"/>
      </w:pPr>
      <w:r>
        <w:t xml:space="preserve">7.3 La arquitectura en tres capas</w:t>
      </w:r>
    </w:p>
    <w:p>
      <w:pPr>
        <w:pStyle w:val="FirstParagraph"/>
      </w:pPr>
      <w:r>
        <w:t xml:space="preserve">El motor se organiza en tres capas con responsabilidades separadas, de modo que cada una pueda mejorarse sin tocar las demás: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Capa</w:t>
            </w:r>
          </w:p>
        </w:tc>
        <w:tc>
          <w:tcPr/>
          <w:p>
            <w:pPr>
              <w:pStyle w:val="Compact"/>
              <w:jc w:val="left"/>
            </w:pPr>
            <w:r>
              <w:t xml:space="preserve">Qué contiene</w:t>
            </w:r>
          </w:p>
        </w:tc>
        <w:tc>
          <w:tcPr/>
          <w:p>
            <w:pPr>
              <w:pStyle w:val="Compact"/>
              <w:jc w:val="left"/>
            </w:pPr>
            <w:r>
              <w:t xml:space="preserve">Qué problema resuelve</w:t>
            </w:r>
          </w:p>
        </w:tc>
      </w:tr>
      <w:tr>
        <w:tc>
          <w:tcPr/>
          <w:p>
            <w:pPr>
              <w:pStyle w:val="Compact"/>
              <w:jc w:val="left"/>
            </w:pPr>
            <w:r>
              <w:rPr>
                <w:bCs/>
                <w:b/>
              </w:rPr>
              <w:t xml:space="preserve">1. Conocimiento (RAG)</w:t>
            </w:r>
          </w:p>
        </w:tc>
        <w:tc>
          <w:tcPr/>
          <w:p>
            <w:pPr>
              <w:pStyle w:val="Compact"/>
              <w:jc w:val="left"/>
            </w:pPr>
            <w:r>
              <w:t xml:space="preserve">Corpus oficial estructurado (DOF, LeyesBiblio, SJF, Orden Jurídico, gacetas estatales) con ingesta diaria, índice híbrido BM25 + vectorial y metadatos de vigencia, fuente y jerarquía</w:t>
            </w:r>
          </w:p>
        </w:tc>
        <w:tc>
          <w:tcPr/>
          <w:p>
            <w:pPr>
              <w:pStyle w:val="Compact"/>
              <w:jc w:val="left"/>
            </w:pPr>
            <w:r>
              <w:t xml:space="preserve">Cobertura completa y vigencia: el sistema nunca responde</w:t>
            </w:r>
            <w:r>
              <w:t xml:space="preserve"> </w:t>
            </w:r>
            <w:r>
              <w:t xml:space="preserve">“</w:t>
            </w:r>
            <w:r>
              <w:t xml:space="preserve">de memoria</w:t>
            </w:r>
            <w:r>
              <w:t xml:space="preserve">”</w:t>
            </w:r>
          </w:p>
        </w:tc>
      </w:tr>
      <w:tr>
        <w:tc>
          <w:tcPr/>
          <w:p>
            <w:pPr>
              <w:pStyle w:val="Compact"/>
              <w:jc w:val="left"/>
            </w:pPr>
            <w:r>
              <w:rPr>
                <w:bCs/>
                <w:b/>
              </w:rPr>
              <w:t xml:space="preserve">2. Razonamiento (LLM destilado)</w:t>
            </w:r>
          </w:p>
        </w:tc>
        <w:tc>
          <w:tcPr/>
          <w:p>
            <w:pPr>
              <w:pStyle w:val="Compact"/>
              <w:jc w:val="left"/>
            </w:pPr>
            <w:r>
              <w:t xml:space="preserve">Modelo de 7B–32B sobre pesos abiertos (familia Qwen3, Apache 2.0), especializado por pre-entrenamiento continuado, instrucciones jurídicas y destilación</w:t>
            </w:r>
          </w:p>
        </w:tc>
        <w:tc>
          <w:tcPr/>
          <w:p>
            <w:pPr>
              <w:pStyle w:val="Compact"/>
              <w:jc w:val="left"/>
            </w:pPr>
            <w:r>
              <w:t xml:space="preserve">Calidad de razonamiento jurídico en español mexicano a costo de inferencia de centavos</w:t>
            </w:r>
          </w:p>
        </w:tc>
      </w:tr>
      <w:tr>
        <w:tc>
          <w:tcPr/>
          <w:p>
            <w:pPr>
              <w:pStyle w:val="Compact"/>
              <w:jc w:val="left"/>
            </w:pPr>
            <w:r>
              <w:rPr>
                <w:bCs/>
                <w:b/>
              </w:rPr>
              <w:t xml:space="preserve">3. Garantías (verificación)</w:t>
            </w:r>
          </w:p>
        </w:tc>
        <w:tc>
          <w:tcPr/>
          <w:p>
            <w:pPr>
              <w:pStyle w:val="Compact"/>
              <w:jc w:val="left"/>
            </w:pPr>
            <w:r>
              <w:t xml:space="preserve">Resolvedor de citas contra registros reales, prueba de implicación (NLI) pasaje⇒oración, umbrales de abstención y trazabilidad completa</w:t>
            </w:r>
          </w:p>
        </w:tc>
        <w:tc>
          <w:tcPr/>
          <w:p>
            <w:pPr>
              <w:pStyle w:val="Compact"/>
              <w:jc w:val="left"/>
            </w:pPr>
            <w:r>
              <w:t xml:space="preserve">Alucinaciones residuales detectadas y bloqueadas antes de llegar al usuario</w:t>
            </w:r>
          </w:p>
        </w:tc>
      </w:tr>
    </w:tbl>
    <w:p>
      <w:pPr>
        <w:pStyle w:val="BodyText"/>
      </w:pPr>
      <w:r>
        <w:t xml:space="preserve">La separación tiene una consecuencia estratégica importante:</w:t>
      </w:r>
      <w:r>
        <w:t xml:space="preserve"> </w:t>
      </w:r>
      <w:r>
        <w:rPr>
          <w:bCs/>
          <w:b/>
        </w:rPr>
        <w:t xml:space="preserve">el valor no reside en el modelo, que es reemplazable, sino en las capas 1 y 3</w:t>
      </w:r>
      <w:r>
        <w:t xml:space="preserve">. Los modelos abiertos mejoran cada trimestre y el contrato de mantenimiento del Nivel 2 incluye el reemplazo periódico del alumno por su sucesor; el corpus estructurado con metadatos de vigencia, el resolvedor de citas y el dataset de pares validados son los activos que un competidor no puede comprar</w:t>
      </w:r>
      <w:r>
        <w:t xml:space="preserve"> </w:t>
      </w:r>
      <w:fldSimple w:instr="NOTEREF _Ref_Footnote_60 \h \f">
        <w:r>
          <w:rPr>
            <w:vertAlign w:val="superscript"/>
          </w:rPr>
          <w:t>60</w:t>
        </w:r>
      </w:fldSimple>
      <w:r>
        <w:t xml:space="preserve">.</w:t>
      </w:r>
    </w:p>
    <w:bookmarkEnd w:id="51"/>
    <w:bookmarkStart w:id="52" w:name="X08c1a717383e0375bb3c96ffe01edcb44992136"/>
    <w:p>
      <w:pPr>
        <w:pStyle w:val="Heading3"/>
      </w:pPr>
      <w:r>
        <w:t xml:space="preserve">7.4 El pipeline de entrenamiento del modelo, paso a paso</w:t>
      </w:r>
    </w:p>
    <w:p>
      <w:pPr>
        <w:pStyle w:val="FirstParagraph"/>
      </w:pPr>
      <w:r>
        <w:rPr>
          <w:bCs/>
          <w:b/>
        </w:rPr>
        <w:t xml:space="preserve">Paso 1 — Pre-entrenamiento continuado en derecho mexicano.</w:t>
      </w:r>
      <w:r>
        <w:t xml:space="preserve"> </w:t>
      </w:r>
      <w:r>
        <w:t xml:space="preserve">Se parte de un modelo abierto con español de calidad nativa y licencia comercial limpia (Qwen3, Apache 2.0) y se continúa su pre-entrenamiento sobre el corpus mexicano completo: legislación federal y estatal consolidada, jurisprudencia y tesis del SJF, criterios de la SCJN, doctrina de ordenjuridico.gob.mx y, progresivamente, doctrina secundaria y formatos de escritos</w:t>
      </w:r>
      <w:r>
        <w:t xml:space="preserve"> </w:t>
      </w:r>
      <w:fldSimple w:instr="NOTEREF _Ref_Footnote_16 \h \f">
        <w:r>
          <w:rPr>
            <w:vertAlign w:val="superscript"/>
          </w:rPr>
          <w:t>16</w:t>
        </w:r>
      </w:fldSimple>
      <w:r>
        <w:t xml:space="preserve"> </w:t>
      </w:r>
      <w:fldSimple w:instr="NOTEREF _Ref_Footnote_18 \h \f">
        <w:r>
          <w:rPr>
            <w:vertAlign w:val="superscript"/>
          </w:rPr>
          <w:t>18</w:t>
        </w:r>
      </w:fldSimple>
      <w:r>
        <w:t xml:space="preserve">. Es el patrón SaulLM: el objetivo de esta etapa no es que el modelo</w:t>
      </w:r>
      <w:r>
        <w:t xml:space="preserve"> </w:t>
      </w:r>
      <w:r>
        <w:t xml:space="preserve">“</w:t>
      </w:r>
      <w:r>
        <w:t xml:space="preserve">memorice leyes</w:t>
      </w:r>
      <w:r>
        <w:t xml:space="preserve">”</w:t>
      </w:r>
      <w:r>
        <w:t xml:space="preserve"> </w:t>
      </w:r>
      <w:r>
        <w:t xml:space="preserve">(de eso se encarga la capa RAG) sino que</w:t>
      </w:r>
      <w:r>
        <w:t xml:space="preserve"> </w:t>
      </w:r>
      <w:r>
        <w:rPr>
          <w:bCs/>
          <w:b/>
        </w:rPr>
        <w:t xml:space="preserve">interiorice el lenguaje, la estructura y los conceptos del derecho mexicano</w:t>
      </w:r>
      <w:r>
        <w:t xml:space="preserve"> </w:t>
      </w:r>
      <w:r>
        <w:t xml:space="preserve">—la diferencia entre</w:t>
      </w:r>
      <w:r>
        <w:t xml:space="preserve"> </w:t>
      </w:r>
      <w:r>
        <w:t xml:space="preserve">“</w:t>
      </w:r>
      <w:r>
        <w:t xml:space="preserve">amparo indirecto</w:t>
      </w:r>
      <w:r>
        <w:t xml:space="preserve">”</w:t>
      </w:r>
      <w:r>
        <w:t xml:space="preserve"> </w:t>
      </w:r>
      <w:r>
        <w:t xml:space="preserve">y</w:t>
      </w:r>
      <w:r>
        <w:t xml:space="preserve"> </w:t>
      </w:r>
      <w:r>
        <w:t xml:space="preserve">“</w:t>
      </w:r>
      <w:r>
        <w:t xml:space="preserve">juicio de amparo</w:t>
      </w:r>
      <w:r>
        <w:t xml:space="preserve">”</w:t>
      </w:r>
      <w:r>
        <w:t xml:space="preserve">, entre tesis aislada y jurisprudencia, entre texto vigente y derogado</w:t>
      </w:r>
      <w:r>
        <w:t xml:space="preserve"> </w:t>
      </w:r>
      <w:fldSimple w:instr="NOTEREF _Ref_Footnote_5 \h \f">
        <w:r>
          <w:rPr>
            <w:vertAlign w:val="superscript"/>
          </w:rPr>
          <w:t>5</w:t>
        </w:r>
      </w:fldSimple>
      <w:r>
        <w:t xml:space="preserve">.</w:t>
      </w:r>
    </w:p>
    <w:p>
      <w:pPr>
        <w:pStyle w:val="BodyText"/>
      </w:pPr>
      <w:r>
        <w:rPr>
          <w:bCs/>
          <w:b/>
        </w:rPr>
        <w:t xml:space="preserve">Paso 2 — Ajuste por instrucciones jurídicas.</w:t>
      </w:r>
      <w:r>
        <w:t xml:space="preserve"> </w:t>
      </w:r>
      <w:r>
        <w:t xml:space="preserve">Sobre la base anterior se entrena con tareas del oficio: responder consultas citando artículo y fuente, resumir expedientes, comparar versiones de un artículo antes y después de una reforma, extraer elementos de un contrato, redactar en formato de demanda o dictamen. Los datasets se construyen transformando el propio corpus con metadatos en diálogos de instrucción —la misma técnica de generación sintética que usó SaulLM-7B-Instruct— más instrucciones genéricas de seguimiento de formato para no degradar la obediencia del modelo</w:t>
      </w:r>
      <w:r>
        <w:t xml:space="preserve"> </w:t>
      </w:r>
      <w:fldSimple w:instr="NOTEREF _Ref_Footnote_5 \h \f">
        <w:r>
          <w:rPr>
            <w:vertAlign w:val="superscript"/>
          </w:rPr>
          <w:t>5</w:t>
        </w:r>
      </w:fldSimple>
      <w:r>
        <w:t xml:space="preserve"> </w:t>
      </w:r>
      <w:fldSimple w:instr="NOTEREF _Ref_Footnote_28 \h \f">
        <w:r>
          <w:rPr>
            <w:vertAlign w:val="superscript"/>
          </w:rPr>
          <w:t>28</w:t>
        </w:r>
      </w:fldSimple>
      <w:r>
        <w:t xml:space="preserve">.</w:t>
      </w:r>
    </w:p>
    <w:p>
      <w:pPr>
        <w:pStyle w:val="BodyText"/>
      </w:pPr>
      <w:r>
        <w:rPr>
          <w:bCs/>
          <w:b/>
        </w:rPr>
        <w:t xml:space="preserve">Paso 3 — Destilación desde un maestro frontera.</w:t>
      </w:r>
      <w:r>
        <w:t xml:space="preserve"> </w:t>
      </w:r>
      <w:r>
        <w:t xml:space="preserve">Se usa un modelo frontera (vía API) como maestro: se le plantean decenas de miles de preguntas jurídicas mexicanas</w:t>
      </w:r>
      <w:r>
        <w:t xml:space="preserve"> </w:t>
      </w:r>
      <w:r>
        <w:rPr>
          <w:bCs/>
          <w:b/>
        </w:rPr>
        <w:t xml:space="preserve">con los pasajes oficiales recuperados delante</w:t>
      </w:r>
      <w:r>
        <w:t xml:space="preserve"> </w:t>
      </w:r>
      <w:r>
        <w:t xml:space="preserve">y se le pide que produzca el razonamiento paso a paso y la respuesta con citas. Esas trazas —no las respuestas desnudas— son el dataset con el que se ajusta el alumno. La destilación con trazas de razonamiento es exactamente el procedimiento con el que los modelos R1-Distill superaron a o1-mini y GPT-4o en sus dominios</w:t>
      </w:r>
      <w:r>
        <w:t xml:space="preserve"> </w:t>
      </w:r>
      <w:fldSimple w:instr="NOTEREF _Ref_Footnote_7 \h \f">
        <w:r>
          <w:rPr>
            <w:vertAlign w:val="superscript"/>
          </w:rPr>
          <w:t>7</w:t>
        </w:r>
      </w:fldSimple>
      <w:r>
        <w:t xml:space="preserve"> </w:t>
      </w:r>
      <w:fldSimple w:instr="NOTEREF _Ref_Footnote_67 \h \f">
        <w:r>
          <w:rPr>
            <w:vertAlign w:val="superscript"/>
          </w:rPr>
          <w:t>67</w:t>
        </w:r>
      </w:fldSimple>
      <w:r>
        <w:t xml:space="preserve">. El costo es asumible: decenas de miles de ejemplos de alta calidad, no billones de tokens; el alumno</w:t>
      </w:r>
      <w:r>
        <w:t xml:space="preserve"> </w:t>
      </w:r>
      <w:r>
        <w:t xml:space="preserve">“</w:t>
      </w:r>
      <w:r>
        <w:t xml:space="preserve">se salta la fase del descubrimiento</w:t>
      </w:r>
      <w:r>
        <w:t xml:space="preserve">”</w:t>
      </w:r>
      <w:r>
        <w:t xml:space="preserve"> </w:t>
      </w:r>
      <w:fldSimple w:instr="NOTEREF _Ref_Footnote_67 \h \f">
        <w:r>
          <w:rPr>
            <w:vertAlign w:val="superscript"/>
          </w:rPr>
          <w:t>67</w:t>
        </w:r>
      </w:fldSimple>
      <w:r>
        <w:t xml:space="preserve">. El contrato con el proveedor del maestro debe permitir destilación o hacerse con un maestro de pesos abiertos (DeepSeek, licencia MIT) para eliminar el riesgo de términos de servicio</w:t>
      </w:r>
      <w:r>
        <w:t xml:space="preserve"> </w:t>
      </w:r>
      <w:fldSimple w:instr="NOTEREF _Ref_Footnote_16 \h \f">
        <w:r>
          <w:rPr>
            <w:vertAlign w:val="superscript"/>
          </w:rPr>
          <w:t>16</w:t>
        </w:r>
      </w:fldSimple>
      <w:r>
        <w:t xml:space="preserve">.</w:t>
      </w:r>
    </w:p>
    <w:p>
      <w:pPr>
        <w:pStyle w:val="BodyText"/>
      </w:pPr>
      <w:r>
        <w:rPr>
          <w:bCs/>
          <w:b/>
        </w:rPr>
        <w:t xml:space="preserve">Paso 4 — Entrenamiento RAFT: robustez ante recuperación imperfecta.</w:t>
      </w:r>
      <w:r>
        <w:t xml:space="preserve"> </w:t>
      </w:r>
      <w:r>
        <w:t xml:space="preserve">El paso que distingue a un demo de un sistema confiable: se entrena al modelo con ejemplos donde el contexto recuperado incluye</w:t>
      </w:r>
      <w:r>
        <w:t xml:space="preserve"> </w:t>
      </w:r>
      <w:r>
        <w:rPr>
          <w:bCs/>
          <w:b/>
        </w:rPr>
        <w:t xml:space="preserve">pasajes distractores y contradictorios</w:t>
      </w:r>
      <w:r>
        <w:t xml:space="preserve"> </w:t>
      </w:r>
      <w:r>
        <w:t xml:space="preserve">(leyes derogadas, tesis aisladas confundibles con jurisprudencia, artículos de otra entidad federativa), enseñándolo a ignorar lo irrelevante, a detectar la contradicción y a responder solo desde la fuente correcta. El método RAFT mejoró el rendimiento frente a RAG simple y fine-tuning simple en todos los dominios especializados evaluados, y trabajos posteriores (Finetune-RAG) confirman que ajustar la etapa de generación para depender únicamente del contexto factual mejora sustancialmente la resistencia a la alucinación en entornos de recuperación ruidosa</w:t>
      </w:r>
      <w:r>
        <w:t xml:space="preserve"> </w:t>
      </w:r>
      <w:fldSimple w:instr="NOTEREF _Ref_Footnote_68 \h \f">
        <w:r>
          <w:rPr>
            <w:vertAlign w:val="superscript"/>
          </w:rPr>
          <w:t>68</w:t>
        </w:r>
      </w:fldSimple>
      <w:r>
        <w:t xml:space="preserve"> </w:t>
      </w:r>
      <w:r>
        <w:rPr>
          <w:vertAlign w:val="superscript"/>
        </w:rPr>
        <w:footnoteReference w:id="70"/>
      </w:r>
      <w:r>
        <w:t xml:space="preserve">.</w:t>
      </w:r>
    </w:p>
    <w:p>
      <w:pPr>
        <w:pStyle w:val="BodyText"/>
      </w:pPr>
      <w:r>
        <w:rPr>
          <w:bCs/>
          <w:b/>
        </w:rPr>
        <w:t xml:space="preserve">Paso 5 — El volante de datos de la plataforma.</w:t>
      </w:r>
      <w:r>
        <w:t xml:space="preserve"> </w:t>
      </w:r>
      <w:r>
        <w:t xml:space="preserve">Cada consulta validada del Nivel 0 produce un par</w:t>
      </w:r>
      <w:r>
        <w:t xml:space="preserve"> </w:t>
      </w:r>
      <w:r>
        <w:t xml:space="preserve">“</w:t>
      </w:r>
      <w:r>
        <w:t xml:space="preserve">borrador de la IA / versión aprobada por el abogado</w:t>
      </w:r>
      <w:r>
        <w:t xml:space="preserve">”</w:t>
      </w:r>
      <w:r>
        <w:t xml:space="preserve">; cada corrección del Nivel 1 produce otra señal. Con consentimiento, esos pares se convierten en el dataset de re-afinado periódico: el modelo aprende específicamente de sus propios errores y de las correcciones de abogados reales sobre casos reales</w:t>
      </w:r>
      <w:r>
        <w:t xml:space="preserve"> </w:t>
      </w:r>
      <w:fldSimple w:instr="NOTEREF _Ref_Footnote_26 \h \f">
        <w:r>
          <w:rPr>
            <w:vertAlign w:val="superscript"/>
          </w:rPr>
          <w:t>26</w:t>
        </w:r>
      </w:fldSimple>
      <w:r>
        <w:t xml:space="preserve">. Es el mismo activo que sostiene a Álex de Legálitas (cinco millones de asesoramientos) y es, estructuralmente, el foso defensivo más profundo del proyecto: un competidor puede copiar el corpus público, pero no puede copiar millones de correcciones profesionales acumuladas.</w:t>
      </w:r>
    </w:p>
    <w:bookmarkEnd w:id="52"/>
    <w:bookmarkStart w:id="56" w:name="X1c3c4228e65867e8cb82c66ffe05788efaab6a7"/>
    <w:p>
      <w:pPr>
        <w:pStyle w:val="Heading3"/>
      </w:pPr>
      <w:r>
        <w:t xml:space="preserve">7.5 El pipeline de inferencia con verificación, paso a paso</w:t>
      </w:r>
    </w:p>
    <w:p>
      <w:pPr>
        <w:pStyle w:val="FirstParagraph"/>
      </w:pPr>
      <w:r>
        <w:t xml:space="preserve">En tiempo de respuesta, el sistema ejecuta cinco etapas (figura siguiente), alineadas con la arquitectura de referencia de los sistemas RAG verificados: recuperación híbrida, verificación de la recuperación, generación con atribución, verificación de la fundamentación y abstención cuando la evidencia es delgada</w:t>
      </w:r>
      <w:r>
        <w:t xml:space="preserve"> </w:t>
      </w:r>
      <w:r>
        <w:rPr>
          <w:vertAlign w:val="superscript"/>
        </w:rPr>
        <w:footnoteReference w:id="71"/>
      </w:r>
      <w:r>
        <w:t xml:space="preserve">.</w:t>
      </w:r>
    </w:p>
    <w:p>
      <w:pPr>
        <w:pStyle w:val="CaptionedFigure"/>
      </w:pPr>
      <w:r>
        <w:drawing>
          <wp:inline>
            <wp:extent cx="5334000" cy="3303801"/>
            <wp:effectExtent b="0" l="0" r="0" t="0"/>
            <wp:docPr descr="Pipeline de precisión: LLM destilado + RAG + verificación de citas" title="" id="54" name="Picture"/>
            <a:graphic>
              <a:graphicData uri="http://schemas.openxmlformats.org/drawingml/2006/picture">
                <pic:pic>
                  <pic:nvPicPr>
                    <pic:cNvPr descr="assets/fig4_pipeline_rag.png" id="55" name="Picture"/>
                    <pic:cNvPicPr>
                      <a:picLocks noChangeArrowheads="1" noChangeAspect="1"/>
                    </pic:cNvPicPr>
                  </pic:nvPicPr>
                  <pic:blipFill>
                    <a:blip r:embed="rId53"/>
                    <a:stretch>
                      <a:fillRect/>
                    </a:stretch>
                  </pic:blipFill>
                  <pic:spPr bwMode="auto">
                    <a:xfrm>
                      <a:off x="0" y="0"/>
                      <a:ext cx="5334000" cy="3303801"/>
                    </a:xfrm>
                    <a:prstGeom prst="rect">
                      <a:avLst/>
                    </a:prstGeom>
                    <a:noFill/>
                    <a:ln w="9525">
                      <a:noFill/>
                      <a:headEnd/>
                      <a:tailEnd/>
                    </a:ln>
                  </pic:spPr>
                </pic:pic>
              </a:graphicData>
            </a:graphic>
          </wp:inline>
        </w:drawing>
      </w:r>
    </w:p>
    <w:p>
      <w:pPr>
        <w:pStyle w:val="ImageCaption"/>
      </w:pPr>
      <w:r>
        <w:t xml:space="preserve">Pipeline de precisión: LLM destilado + RAG + verificación de citas</w:t>
      </w:r>
    </w:p>
    <w:p>
      <w:pPr>
        <w:numPr>
          <w:ilvl w:val="0"/>
          <w:numId w:val="1002"/>
        </w:numPr>
        <w:pStyle w:val="Compact"/>
      </w:pPr>
      <w:r>
        <w:rPr>
          <w:bCs/>
          <w:b/>
        </w:rPr>
        <w:t xml:space="preserve">Análisis de la consulta.</w:t>
      </w:r>
      <w:r>
        <w:t xml:space="preserve"> </w:t>
      </w:r>
      <w:r>
        <w:t xml:space="preserve">Se extraen materia, jurisdicción (federal o entidad), vigencia requerida y entidades mencionadas. Esta estructura alimenta los filtros de recuperación —en México es crítica, porque la respuesta correcta en Nuevo León puede ser incorrecta en Chiapas.</w:t>
      </w:r>
    </w:p>
    <w:p>
      <w:pPr>
        <w:numPr>
          <w:ilvl w:val="0"/>
          <w:numId w:val="1002"/>
        </w:numPr>
        <w:pStyle w:val="Compact"/>
      </w:pPr>
      <w:r>
        <w:rPr>
          <w:bCs/>
          <w:b/>
        </w:rPr>
        <w:t xml:space="preserve">Recuperación híbrida.</w:t>
      </w:r>
      <w:r>
        <w:t xml:space="preserve"> </w:t>
      </w:r>
      <w:r>
        <w:t xml:space="preserve">Búsqueda BM25 (coincidencia exacta de artículos, números de registro, frases normativas) combinada con búsqueda vectorial (similitud semántica), filtrada por fuente, jerarquía normativa y fecha de vigencia; la búsqueda híbrida mejora la precisión del anclaje ~20% frente a la puramente semántica</w:t>
      </w:r>
      <w:r>
        <w:t xml:space="preserve"> </w:t>
      </w:r>
      <w:fldSimple w:instr="NOTEREF _Ref_Footnote_8 \h \f">
        <w:r>
          <w:rPr>
            <w:vertAlign w:val="superscript"/>
          </w:rPr>
          <w:t>8</w:t>
        </w:r>
      </w:fldSimple>
      <w:r>
        <w:t xml:space="preserve"> </w:t>
      </w:r>
      <w:fldSimple w:instr="NOTEREF _Ref_Footnote_71 \h \f">
        <w:r>
          <w:rPr>
            <w:vertAlign w:val="superscript"/>
          </w:rPr>
          <w:t>71</w:t>
        </w:r>
      </w:fldSimple>
      <w:r>
        <w:t xml:space="preserve">. Si la recuperación no supera el umbral de calidad, se reformula la consulta y se reintenta una vez antes de declarar evidencia insuficiente.</w:t>
      </w:r>
    </w:p>
    <w:p>
      <w:pPr>
        <w:numPr>
          <w:ilvl w:val="0"/>
          <w:numId w:val="1002"/>
        </w:numPr>
        <w:pStyle w:val="Compact"/>
      </w:pPr>
      <w:r>
        <w:rPr>
          <w:bCs/>
          <w:b/>
        </w:rPr>
        <w:t xml:space="preserve">Reranking jurídico.</w:t>
      </w:r>
      <w:r>
        <w:t xml:space="preserve"> </w:t>
      </w:r>
      <w:r>
        <w:t xml:space="preserve">Un reordenador prioriza los pasajes por relevancia jurídica real (jerarquía del artículo 133 constitucional, vigencia, precedente vinculante vs. persuasivo), no solo por similitud de texto.</w:t>
      </w:r>
    </w:p>
    <w:p>
      <w:pPr>
        <w:numPr>
          <w:ilvl w:val="0"/>
          <w:numId w:val="1002"/>
        </w:numPr>
        <w:pStyle w:val="Compact"/>
      </w:pPr>
      <w:r>
        <w:rPr>
          <w:bCs/>
          <w:b/>
        </w:rPr>
        <w:t xml:space="preserve">Generación anclada.</w:t>
      </w:r>
      <w:r>
        <w:t xml:space="preserve"> </w:t>
      </w:r>
      <w:r>
        <w:t xml:space="preserve">El modelo destilado redacta la respuesta</w:t>
      </w:r>
      <w:r>
        <w:t xml:space="preserve"> </w:t>
      </w:r>
      <w:r>
        <w:rPr>
          <w:bCs/>
          <w:b/>
        </w:rPr>
        <w:t xml:space="preserve">exclusivamente desde los pasajes recuperados</w:t>
      </w:r>
      <w:r>
        <w:t xml:space="preserve">, con una cita en línea por oración y un puntero al pasaje que la respalda (atribución a nivel de oración). La consigna es estricta: si un enunciado no tiene pasaje que lo sostenga, se marca como NO SUSTENTADO y se elimina o se reformula</w:t>
      </w:r>
      <w:r>
        <w:t xml:space="preserve"> </w:t>
      </w:r>
      <w:fldSimple w:instr="NOTEREF _Ref_Footnote_71 \h \f">
        <w:r>
          <w:rPr>
            <w:vertAlign w:val="superscript"/>
          </w:rPr>
          <w:t>71</w:t>
        </w:r>
      </w:fldSimple>
      <w:r>
        <w:t xml:space="preserve">.</w:t>
      </w:r>
    </w:p>
    <w:p>
      <w:pPr>
        <w:numPr>
          <w:ilvl w:val="0"/>
          <w:numId w:val="1002"/>
        </w:numPr>
        <w:pStyle w:val="Compact"/>
      </w:pPr>
      <w:r>
        <w:rPr>
          <w:bCs/>
          <w:b/>
        </w:rPr>
        <w:t xml:space="preserve">Verificación automática de cada cita.</w:t>
      </w:r>
      <w:r>
        <w:t xml:space="preserve"> </w:t>
      </w:r>
      <w:r>
        <w:t xml:space="preserve">Doble control: (a)</w:t>
      </w:r>
      <w:r>
        <w:t xml:space="preserve"> </w:t>
      </w:r>
      <w:r>
        <w:rPr>
          <w:bCs/>
          <w:b/>
        </w:rPr>
        <w:t xml:space="preserve">resolución contra registro real</w:t>
      </w:r>
      <w:r>
        <w:t xml:space="preserve"> </w:t>
      </w:r>
      <w:r>
        <w:t xml:space="preserve">—la jurisprudencia citada debe existir con ese número de registro digital en el SJF; el artículo citado debe existir con esa fecha de reforma en LeyesBiblio; la publicación debe existir con esa fecha en el DOF— y (b)</w:t>
      </w:r>
      <w:r>
        <w:t xml:space="preserve"> </w:t>
      </w:r>
      <w:r>
        <w:rPr>
          <w:bCs/>
          <w:b/>
        </w:rPr>
        <w:t xml:space="preserve">prueba de implicación (NLI)</w:t>
      </w:r>
      <w:r>
        <w:t xml:space="preserve"> </w:t>
      </w:r>
      <w:r>
        <w:t xml:space="preserve">—un modelo ligero verifica que el pasaje recuperado realmente implica la oración que lo cita (entails / contradice / desconocido), detectando la</w:t>
      </w:r>
      <w:r>
        <w:t xml:space="preserve"> </w:t>
      </w:r>
      <w:r>
        <w:t xml:space="preserve">“</w:t>
      </w:r>
      <w:r>
        <w:t xml:space="preserve">fuga de citas</w:t>
      </w:r>
      <w:r>
        <w:t xml:space="preserve">”</w:t>
      </w:r>
      <w:r>
        <w:t xml:space="preserve"> </w:t>
      </w:r>
      <w:r>
        <w:t xml:space="preserve">en que la respuesta cita un documento pero usa hechos que no están en él</w:t>
      </w:r>
      <w:r>
        <w:t xml:space="preserve"> </w:t>
      </w:r>
      <w:fldSimple w:instr="NOTEREF _Ref_Footnote_71 \h \f">
        <w:r>
          <w:rPr>
            <w:vertAlign w:val="superscript"/>
          </w:rPr>
          <w:t>71</w:t>
        </w:r>
      </w:fldSimple>
      <w:r>
        <w:t xml:space="preserve"> </w:t>
      </w:r>
      <w:fldSimple w:instr="NOTEREF _Ref_Footnote_65 \h \f">
        <w:r>
          <w:rPr>
            <w:vertAlign w:val="superscript"/>
          </w:rPr>
          <w:t>65</w:t>
        </w:r>
      </w:fldSimple>
      <w:r>
        <w:t xml:space="preserve">. Si la proporción de oraciones con respaldo fuerte cae bajo el umbral, el sistema</w:t>
      </w:r>
      <w:r>
        <w:t xml:space="preserve"> </w:t>
      </w:r>
      <w:r>
        <w:rPr>
          <w:bCs/>
          <w:b/>
        </w:rPr>
        <w:t xml:space="preserve">se abstiene</w:t>
      </w:r>
      <w:r>
        <w:t xml:space="preserve">: declara que no hay base suficiente en fuentes oficiales y ofrece derivar a un abogado de la red —la política que el benchmark Vals AI premió en Vincent AI y que convierte una potencial alucinación en una venta del Nivel 0</w:t>
      </w:r>
      <w:r>
        <w:t xml:space="preserve"> </w:t>
      </w:r>
      <w:fldSimple w:instr="NOTEREF _Ref_Footnote_51 \h \f">
        <w:r>
          <w:rPr>
            <w:vertAlign w:val="superscript"/>
          </w:rPr>
          <w:t>51</w:t>
        </w:r>
      </w:fldSimple>
      <w:r>
        <w:t xml:space="preserve">.</w:t>
      </w:r>
    </w:p>
    <w:p>
      <w:pPr>
        <w:pStyle w:val="FirstParagraph"/>
      </w:pPr>
      <w:r>
        <w:t xml:space="preserve">El efecto combinado está medido: los sistemas que apilan RAG con contrato estricto de citas, verificación y monitoreo reducen las alucinaciones</w:t>
      </w:r>
      <w:r>
        <w:t xml:space="preserve"> </w:t>
      </w:r>
      <w:r>
        <w:rPr>
          <w:bCs/>
          <w:b/>
        </w:rPr>
        <w:t xml:space="preserve">entre 71% y 89% respecto a un despliegue sin guardarraíles</w:t>
      </w:r>
      <w:r>
        <w:t xml:space="preserve">, y la estrategia individual de mayor impacto documentada es precisamente</w:t>
      </w:r>
      <w:r>
        <w:t xml:space="preserve"> </w:t>
      </w:r>
      <w:r>
        <w:t xml:space="preserve">“</w:t>
      </w:r>
      <w:r>
        <w:t xml:space="preserve">RAG con contrato estricto de citación</w:t>
      </w:r>
      <w:r>
        <w:t xml:space="preserve">”</w:t>
      </w:r>
      <w:r>
        <w:t xml:space="preserve"> </w:t>
      </w:r>
      <w:fldSimple w:instr="NOTEREF _Ref_Footnote_34 \h \f">
        <w:r>
          <w:rPr>
            <w:vertAlign w:val="superscript"/>
          </w:rPr>
          <w:t>34</w:t>
        </w:r>
      </w:fldSimple>
      <w:r>
        <w:t xml:space="preserve">. La meta de producto es ambiciosa pero anclada en evidencia: tasa de citas verificadas incorrectas</w:t>
      </w:r>
      <w:r>
        <w:t xml:space="preserve"> </w:t>
      </w:r>
      <w:r>
        <w:rPr>
          <w:bCs/>
          <w:b/>
        </w:rPr>
        <w:t xml:space="preserve">inferior al 2%</w:t>
      </w:r>
      <w:r>
        <w:t xml:space="preserve"> </w:t>
      </w:r>
      <w:r>
        <w:t xml:space="preserve">—el nivel que los sistemas anclados alcanzan en tareas de síntesis—, con la diferencia de que aquí las alucinaciones residuales no llegan al usuario porque la etapa 5 las bloquea y las convierte en abstenciones</w:t>
      </w:r>
      <w:r>
        <w:t xml:space="preserve"> </w:t>
      </w:r>
      <w:fldSimple w:instr="NOTEREF _Ref_Footnote_8 \h \f">
        <w:r>
          <w:rPr>
            <w:vertAlign w:val="superscript"/>
          </w:rPr>
          <w:t>8</w:t>
        </w:r>
      </w:fldSimple>
      <w:r>
        <w:t xml:space="preserve">. Cero alucinaciones absolutas no existe en ningún sistema de lenguaje; lo que sí existe es un sistema donde</w:t>
      </w:r>
      <w:r>
        <w:t xml:space="preserve"> </w:t>
      </w:r>
      <w:r>
        <w:rPr>
          <w:bCs/>
          <w:b/>
        </w:rPr>
        <w:t xml:space="preserve">toda afirmación es verificable con un clic y toda incertidumbre se declara en lugar de disimularse</w:t>
      </w:r>
      <w:r>
        <w:t xml:space="preserve"> </w:t>
      </w:r>
      <w:fldSimple w:instr="NOTEREF _Ref_Footnote_65 \h \f">
        <w:r>
          <w:rPr>
            <w:vertAlign w:val="superscript"/>
          </w:rPr>
          <w:t>65</w:t>
        </w:r>
      </w:fldSimple>
      <w:r>
        <w:t xml:space="preserve">.</w:t>
      </w:r>
    </w:p>
    <w:bookmarkEnd w:id="56"/>
    <w:bookmarkStart w:id="57" w:name="X3a9697a63292e2fffa89859ecf85bf2a842bfc7"/>
    <w:p>
      <w:pPr>
        <w:pStyle w:val="Heading3"/>
      </w:pPr>
      <w:r>
        <w:t xml:space="preserve">7.6 La economía del modelo pequeño: por qué esta arquitectura habilita el negocio</w:t>
      </w:r>
    </w:p>
    <w:p>
      <w:pPr>
        <w:pStyle w:val="FirstParagraph"/>
      </w:pPr>
      <w:r>
        <w:t xml:space="preserve">La decisión destilado + RAG no es solo técnica; es la que hace cuadrar los números de los tres niveles. En</w:t>
      </w:r>
      <w:r>
        <w:t xml:space="preserve"> </w:t>
      </w:r>
      <w:r>
        <w:rPr>
          <w:bCs/>
          <w:b/>
        </w:rPr>
        <w:t xml:space="preserve">costo de inferencia</w:t>
      </w:r>
      <w:r>
        <w:t xml:space="preserve">, servir un modelo propio de 7B–32B cuesta una fracción de la API de un frontera: con vLLM sobre un solo GPU, el costo por consulta típica (recuperación + generación de ~1,000 tokens) queda en el orden de</w:t>
      </w:r>
      <w:r>
        <w:t xml:space="preserve"> </w:t>
      </w:r>
      <w:r>
        <w:rPr>
          <w:bCs/>
          <w:b/>
        </w:rPr>
        <w:t xml:space="preserve">centavos de peso</w:t>
      </w:r>
      <w:r>
        <w:t xml:space="preserve">, frente a varios pesos por llamada a API frontera con contexto largo —la diferencia entre un costo de IA de $1–3 y uno de $15–40 sobre un ticket de $149</w:t>
      </w:r>
      <w:r>
        <w:t xml:space="preserve"> </w:t>
      </w:r>
      <w:fldSimple w:instr="NOTEREF _Ref_Footnote_60 \h \f">
        <w:r>
          <w:rPr>
            <w:vertAlign w:val="superscript"/>
          </w:rPr>
          <w:t>60</w:t>
        </w:r>
      </w:fldSimple>
      <w:r>
        <w:t xml:space="preserve"> </w:t>
      </w:r>
      <w:fldSimple w:instr="NOTEREF _Ref_Footnote_17 \h \f">
        <w:r>
          <w:rPr>
            <w:vertAlign w:val="superscript"/>
          </w:rPr>
          <w:t>17</w:t>
        </w:r>
      </w:fldSimple>
      <w:r>
        <w:t xml:space="preserve">. En</w:t>
      </w:r>
      <w:r>
        <w:t xml:space="preserve"> </w:t>
      </w:r>
      <w:r>
        <w:rPr>
          <w:bCs/>
          <w:b/>
        </w:rPr>
        <w:t xml:space="preserve">latencia</w:t>
      </w:r>
      <w:r>
        <w:t xml:space="preserve">, un modelo de 7B–32B responde en segundos en hardware modesto, requisito para el chat del Nivel 0. En</w:t>
      </w:r>
      <w:r>
        <w:t xml:space="preserve"> </w:t>
      </w:r>
      <w:r>
        <w:rPr>
          <w:bCs/>
          <w:b/>
        </w:rPr>
        <w:t xml:space="preserve">soberanía</w:t>
      </w:r>
      <w:r>
        <w:t xml:space="preserve">, los pesos abiertos con licencia Apache 2.0 eliminan renta de licencia, dependencia de proveedor y el riesgo de que el proveedor cambie términos o suba precios —y son la condición de posibilidad del Nivel 2, porque solo un modelo de pesos propios puede instalarse dentro del firewall del despacho</w:t>
      </w:r>
      <w:r>
        <w:t xml:space="preserve"> </w:t>
      </w:r>
      <w:fldSimple w:instr="NOTEREF _Ref_Footnote_16 \h \f">
        <w:r>
          <w:rPr>
            <w:vertAlign w:val="superscript"/>
          </w:rPr>
          <w:t>16</w:t>
        </w:r>
      </w:fldSimple>
      <w:r>
        <w:t xml:space="preserve"> </w:t>
      </w:r>
      <w:fldSimple w:instr="NOTEREF _Ref_Footnote_31 \h \f">
        <w:r>
          <w:rPr>
            <w:vertAlign w:val="superscript"/>
          </w:rPr>
          <w:t>31</w:t>
        </w:r>
      </w:fldSimple>
      <w:r>
        <w:t xml:space="preserve">.</w:t>
      </w:r>
    </w:p>
    <w:p>
      <w:pPr>
        <w:pStyle w:val="BodyText"/>
      </w:pPr>
      <w:r>
        <w:t xml:space="preserve">El cuadro completo, entonces: el modelo pequeño especializado iguala o supera al frontera</w:t>
      </w:r>
      <w:r>
        <w:t xml:space="preserve"> </w:t>
      </w:r>
      <w:r>
        <w:rPr>
          <w:bCs/>
          <w:b/>
        </w:rPr>
        <w:t xml:space="preserve">en el dominio</w:t>
      </w:r>
      <w:r>
        <w:t xml:space="preserve"> </w:t>
      </w:r>
      <w:r>
        <w:t xml:space="preserve">(SaulLM, R1-Distill)</w:t>
      </w:r>
      <w:r>
        <w:t xml:space="preserve"> </w:t>
      </w:r>
      <w:fldSimple w:instr="NOTEREF _Ref_Footnote_5 \h \f">
        <w:r>
          <w:rPr>
            <w:vertAlign w:val="superscript"/>
          </w:rPr>
          <w:t>5</w:t>
        </w:r>
      </w:fldSimple>
      <w:r>
        <w:t xml:space="preserve"> </w:t>
      </w:r>
      <w:fldSimple w:instr="NOTEREF _Ref_Footnote_7 \h \f">
        <w:r>
          <w:rPr>
            <w:vertAlign w:val="superscript"/>
          </w:rPr>
          <w:t>7</w:t>
        </w:r>
      </w:fldSimple>
      <w:r>
        <w:t xml:space="preserve">; el RAG le da la cobertura y la vigencia que ningún peso congelado puede tener (SimpleQA, Microsoft Research)</w:t>
      </w:r>
      <w:r>
        <w:t xml:space="preserve"> </w:t>
      </w:r>
      <w:fldSimple w:instr="NOTEREF _Ref_Footnote_69 \h \f">
        <w:r>
          <w:rPr>
            <w:vertAlign w:val="superscript"/>
          </w:rPr>
          <w:t>69</w:t>
        </w:r>
      </w:fldSimple>
      <w:r>
        <w:t xml:space="preserve"> </w:t>
      </w:r>
      <w:fldSimple w:instr="NOTEREF _Ref_Footnote_68 \h \f">
        <w:r>
          <w:rPr>
            <w:vertAlign w:val="superscript"/>
          </w:rPr>
          <w:t>68</w:t>
        </w:r>
      </w:fldSimple>
      <w:r>
        <w:t xml:space="preserve">; la verificación convierte las alucinaciones residuales en abstenciones detectadas (71–89% de reducción adicional)</w:t>
      </w:r>
      <w:r>
        <w:t xml:space="preserve"> </w:t>
      </w:r>
      <w:fldSimple w:instr="NOTEREF _Ref_Footnote_34 \h \f">
        <w:r>
          <w:rPr>
            <w:vertAlign w:val="superscript"/>
          </w:rPr>
          <w:t>34</w:t>
        </w:r>
      </w:fldSimple>
      <w:r>
        <w:t xml:space="preserve">; y el costo de centavos por respuesta habilita el precio de OXXO del Nivel 0, el margen de la suscripción del Nivel 1 y el despliegue en un solo GPU del Nivel 2. La arquitectura del motor</w:t>
      </w:r>
      <w:r>
        <w:t xml:space="preserve"> </w:t>
      </w:r>
      <w:r>
        <w:rPr>
          <w:bCs/>
          <w:b/>
        </w:rPr>
        <w:t xml:space="preserve">es</w:t>
      </w:r>
      <w:r>
        <w:t xml:space="preserve"> </w:t>
      </w:r>
      <w:r>
        <w:t xml:space="preserve">la estrategia de negocio.</w:t>
      </w:r>
    </w:p>
    <w:p>
      <w:r>
        <w:pict>
          <v:rect style="width:0;height:1.5pt" o:hralign="center" o:hrstd="t" o:hr="t"/>
        </w:pict>
      </w:r>
    </w:p>
    <w:bookmarkEnd w:id="57"/>
    <w:bookmarkEnd w:id="58"/>
    <w:bookmarkStart w:id="59" w:name="X120dc8116f98091ad1575a6dd573b310f82d38f"/>
    <w:p>
      <w:pPr>
        <w:pStyle w:val="Heading2"/>
      </w:pPr>
      <w:r>
        <w:t xml:space="preserve">8. Modelo de ingresos integrado y economía unitaria</w:t>
      </w:r>
    </w:p>
    <w:p>
      <w:pPr>
        <w:pStyle w:val="FirstParagraph"/>
      </w:pPr>
      <w:r>
        <w:t xml:space="preserve">El plan produce</w:t>
      </w:r>
      <w:r>
        <w:t xml:space="preserve"> </w:t>
      </w:r>
      <w:r>
        <w:rPr>
          <w:bCs/>
          <w:b/>
        </w:rPr>
        <w:t xml:space="preserve">tres motores de ingreso con ciclos y márgenes distintos pero costos de núcleo compartidos</w:t>
      </w:r>
      <w:r>
        <w:t xml:space="preserve">: transaccional (Nivel 0), suscripción (Nivel 1) y licencia empresarial (Nivel 2). La diversificación es deliberada —si el marketplace tarda en densificarse, la suscripción sostiene; si la venta empresarial se alarga, el transaccional prueba demanda— y refleja los modelos ya validados por separado en el mercado: comisión por consulta (JustAnswer), suscripción con consultas incluidas (Rocket Lawyer, USD 149–349/año; LegalZoom, USD 199–469/año), y licencia enterprise (Harvey)</w:t>
      </w:r>
      <w:r>
        <w:t xml:space="preserve"> </w:t>
      </w:r>
      <w:fldSimple w:instr="NOTEREF _Ref_Footnote_40 \h \f">
        <w:r>
          <w:rPr>
            <w:vertAlign w:val="superscript"/>
          </w:rPr>
          <w:t>40</w:t>
        </w:r>
      </w:fldSimple>
      <w:r>
        <w:t xml:space="preserve"> </w:t>
      </w:r>
      <w:r>
        <w:rPr>
          <w:vertAlign w:val="superscript"/>
        </w:rPr>
        <w:footnoteReference w:id="72"/>
      </w:r>
      <w:r>
        <w:t xml:space="preserve"> </w:t>
      </w:r>
      <w:fldSimple w:instr="NOTEREF _Ref_Footnote_30 \h \f">
        <w:r>
          <w:rPr>
            <w:vertAlign w:val="superscript"/>
          </w:rPr>
          <w:t>30</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Motor</w:t>
            </w:r>
          </w:p>
        </w:tc>
        <w:tc>
          <w:tcPr/>
          <w:p>
            <w:pPr>
              <w:pStyle w:val="Compact"/>
              <w:jc w:val="left"/>
            </w:pPr>
            <w:r>
              <w:t xml:space="preserve">Quién paga y cuánto</w:t>
            </w:r>
          </w:p>
        </w:tc>
        <w:tc>
          <w:tcPr/>
          <w:p>
            <w:pPr>
              <w:pStyle w:val="Compact"/>
              <w:jc w:val="left"/>
            </w:pPr>
            <w:r>
              <w:t xml:space="preserve">Ingreso de la plataforma</w:t>
            </w:r>
          </w:p>
        </w:tc>
        <w:tc>
          <w:tcPr/>
          <w:p>
            <w:pPr>
              <w:pStyle w:val="Compact"/>
              <w:jc w:val="left"/>
            </w:pPr>
            <w:r>
              <w:t xml:space="preserve">Costo principal</w:t>
            </w:r>
          </w:p>
        </w:tc>
        <w:tc>
          <w:tcPr/>
          <w:p>
            <w:pPr>
              <w:pStyle w:val="Compact"/>
              <w:jc w:val="left"/>
            </w:pPr>
            <w:r>
              <w:t xml:space="preserve">Sensibilidad clave</w:t>
            </w:r>
          </w:p>
        </w:tc>
      </w:tr>
      <w:tr>
        <w:tc>
          <w:tcPr/>
          <w:p>
            <w:pPr>
              <w:pStyle w:val="Compact"/>
              <w:jc w:val="left"/>
            </w:pPr>
            <w:r>
              <w:t xml:space="preserve">Nivel 0 — transaccional</w:t>
            </w:r>
          </w:p>
        </w:tc>
        <w:tc>
          <w:tcPr/>
          <w:p>
            <w:pPr>
              <w:pStyle w:val="Compact"/>
              <w:jc w:val="left"/>
            </w:pPr>
            <w:r>
              <w:t xml:space="preserve">Ciudadano: $149–299 por pregunta (efectivo/tarjeta/SPEI)</w:t>
            </w:r>
          </w:p>
        </w:tc>
        <w:tc>
          <w:tcPr/>
          <w:p>
            <w:pPr>
              <w:pStyle w:val="Compact"/>
              <w:jc w:val="left"/>
            </w:pPr>
            <w:r>
              <w:t xml:space="preserve">30–37% de margen bruto por consulta (tras agregador, IA y abogado)</w:t>
            </w:r>
          </w:p>
        </w:tc>
        <w:tc>
          <w:tcPr/>
          <w:p>
            <w:pPr>
              <w:pStyle w:val="Compact"/>
              <w:jc w:val="left"/>
            </w:pPr>
            <w:r>
              <w:t xml:space="preserve">Agregador 2.6% + $3 en efectivo; inferencia (centavos con modelo propio); honorario del validador</w:t>
            </w:r>
            <w:r>
              <w:t xml:space="preserve"> </w:t>
            </w:r>
            <w:fldSimple w:instr="NOTEREF _Ref_Footnote_27 \h \f">
              <w:r>
                <w:rPr>
                  <w:vertAlign w:val="superscript"/>
                </w:rPr>
                <w:t>27</w:t>
              </w:r>
            </w:fldSimple>
          </w:p>
        </w:tc>
        <w:tc>
          <w:tcPr/>
          <w:p>
            <w:pPr>
              <w:pStyle w:val="Compact"/>
              <w:jc w:val="left"/>
            </w:pPr>
            <w:r>
              <w:t xml:space="preserve">Volumen; conversión de la orientación gratuita a pagada</w:t>
            </w:r>
          </w:p>
        </w:tc>
      </w:tr>
      <w:tr>
        <w:tc>
          <w:tcPr/>
          <w:p>
            <w:pPr>
              <w:pStyle w:val="Compact"/>
              <w:jc w:val="left"/>
            </w:pPr>
            <w:r>
              <w:t xml:space="preserve">Nivel 1 — suscripción</w:t>
            </w:r>
          </w:p>
        </w:tc>
        <w:tc>
          <w:tcPr/>
          <w:p>
            <w:pPr>
              <w:pStyle w:val="Compact"/>
              <w:jc w:val="left"/>
            </w:pPr>
            <w:r>
              <w:t xml:space="preserve">Abogado: ~$499/mes; comisión 15–25% por caso derivado</w:t>
            </w:r>
          </w:p>
        </w:tc>
        <w:tc>
          <w:tcPr/>
          <w:p>
            <w:pPr>
              <w:pStyle w:val="Compact"/>
              <w:jc w:val="left"/>
            </w:pPr>
            <w:r>
              <w:t xml:space="preserve">SaaS recurrente en pesos + comisiones</w:t>
            </w:r>
          </w:p>
        </w:tc>
        <w:tc>
          <w:tcPr/>
          <w:p>
            <w:pPr>
              <w:pStyle w:val="Compact"/>
              <w:jc w:val="left"/>
            </w:pPr>
            <w:r>
              <w:t xml:space="preserve">Inferencia RAG; almacenamiento cifrado; soporte</w:t>
            </w:r>
          </w:p>
        </w:tc>
        <w:tc>
          <w:tcPr/>
          <w:p>
            <w:pPr>
              <w:pStyle w:val="Compact"/>
              <w:jc w:val="left"/>
            </w:pPr>
            <w:r>
              <w:t xml:space="preserve">Retención; que el abogado cierre ≥1 cliente/mes</w:t>
            </w:r>
          </w:p>
        </w:tc>
      </w:tr>
      <w:tr>
        <w:tc>
          <w:tcPr/>
          <w:p>
            <w:pPr>
              <w:pStyle w:val="Compact"/>
              <w:jc w:val="left"/>
            </w:pPr>
            <w:r>
              <w:t xml:space="preserve">Nivel 2 — licencia</w:t>
            </w:r>
          </w:p>
        </w:tc>
        <w:tc>
          <w:tcPr/>
          <w:p>
            <w:pPr>
              <w:pStyle w:val="Compact"/>
              <w:jc w:val="left"/>
            </w:pPr>
            <w:r>
              <w:t xml:space="preserve">Despacho: MXN 1.5–6 M/año + instalación + OCR de archivo</w:t>
            </w:r>
          </w:p>
        </w:tc>
        <w:tc>
          <w:tcPr/>
          <w:p>
            <w:pPr>
              <w:pStyle w:val="Compact"/>
              <w:jc w:val="left"/>
            </w:pPr>
            <w:r>
              <w:t xml:space="preserve">Licencia anual + servicios profesionales</w:t>
            </w:r>
          </w:p>
        </w:tc>
        <w:tc>
          <w:tcPr/>
          <w:p>
            <w:pPr>
              <w:pStyle w:val="Compact"/>
              <w:jc w:val="left"/>
            </w:pPr>
            <w:r>
              <w:t xml:space="preserve">Ingeniería de despliegue; soporte dedicado; sincronización de corpus</w:t>
            </w:r>
          </w:p>
        </w:tc>
        <w:tc>
          <w:tcPr/>
          <w:p>
            <w:pPr>
              <w:pStyle w:val="Compact"/>
              <w:jc w:val="left"/>
            </w:pPr>
            <w:r>
              <w:t xml:space="preserve">Ciclo de venta largo; renovaciones</w:t>
            </w:r>
          </w:p>
        </w:tc>
      </w:tr>
    </w:tbl>
    <w:p>
      <w:pPr>
        <w:pStyle w:val="BodyText"/>
      </w:pPr>
      <w:r>
        <w:t xml:space="preserve">La economía unitaria del Nivel 0 (sección 3.2) muestra que incluso el precio más bajo ($149) deja margen positivo después de pagar al abogado validador más de la mitad del ticket —condición necesaria para que la oferta se mantenga— y que el costo del cobro en efectivo (~$7 sobre $149) es asumible, dado que la tienda cobra su propia comisión al cliente en caja</w:t>
      </w:r>
      <w:r>
        <w:t xml:space="preserve"> </w:t>
      </w:r>
      <w:fldSimple w:instr="NOTEREF _Ref_Footnote_11 \h \f">
        <w:r>
          <w:rPr>
            <w:vertAlign w:val="superscript"/>
          </w:rPr>
          <w:t>11</w:t>
        </w:r>
      </w:fldSimple>
      <w:r>
        <w:t xml:space="preserve">. Para el Nivel 1, el umbral de viabilidad es de valor percibido: con honorarios de mercado de MXN 1,500–3,000 por hora, un solo cliente derivado al mes paga entre 3 y 12 meses de suscripción</w:t>
      </w:r>
      <w:r>
        <w:t xml:space="preserve"> </w:t>
      </w:r>
      <w:fldSimple w:instr="NOTEREF _Ref_Footnote_38 \h \f">
        <w:r>
          <w:rPr>
            <w:vertAlign w:val="superscript"/>
          </w:rPr>
          <w:t>38</w:t>
        </w:r>
      </w:fldSimple>
      <w:r>
        <w:t xml:space="preserve">. Para el Nivel 2, el costo de hardware del cliente (MXN 60,000–500,000 según nodo) es menor que una mensualidad de las plataformas globales para 20 usuarios, lo que convierte la compra en una decisión de capex defendible ante el comité de socios</w:t>
      </w:r>
      <w:r>
        <w:t xml:space="preserve"> </w:t>
      </w:r>
      <w:fldSimple w:instr="NOTEREF _Ref_Footnote_17 \h \f">
        <w:r>
          <w:rPr>
            <w:vertAlign w:val="superscript"/>
          </w:rPr>
          <w:t>17</w:t>
        </w:r>
      </w:fldSimple>
      <w:r>
        <w:t xml:space="preserve"> </w:t>
      </w:r>
      <w:fldSimple w:instr="NOTEREF _Ref_Footnote_30 \h \f">
        <w:r>
          <w:rPr>
            <w:vertAlign w:val="superscript"/>
          </w:rPr>
          <w:t>30</w:t>
        </w:r>
      </w:fldSimple>
      <w:r>
        <w:t xml:space="preserve">.</w:t>
      </w:r>
    </w:p>
    <w:p>
      <w:r>
        <w:pict>
          <v:rect style="width:0;height:1.5pt" o:hralign="center" o:hrstd="t" o:hr="t"/>
        </w:pict>
      </w:r>
    </w:p>
    <w:bookmarkEnd w:id="59"/>
    <w:bookmarkStart w:id="60" w:name="Xf6964e5084898019b3544842b9c1d818db4096d"/>
    <w:p>
      <w:pPr>
        <w:pStyle w:val="Heading2"/>
      </w:pPr>
      <w:r>
        <w:t xml:space="preserve">9. Cumplimiento por nivel: un mismo marco, tres exposiciones distintas</w:t>
      </w:r>
    </w:p>
    <w:p>
      <w:pPr>
        <w:pStyle w:val="FirstParagraph"/>
      </w:pPr>
      <w:r>
        <w:t xml:space="preserve">La reestructuración no cambia el marco regulatorio —sigue siendo el de la investigación original— pero sí distribuye las obligaciones de forma distinta en cada nivel, lo que conviene explicitar porque es un argumento comercial: el Nivel 2 vende cumplimiento, el Nivel 1 lo empaqueta y el Nivel 0 lo hace visible al consumidor.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Obligación</w:t>
            </w:r>
          </w:p>
        </w:tc>
        <w:tc>
          <w:tcPr/>
          <w:p>
            <w:pPr>
              <w:pStyle w:val="Compact"/>
              <w:jc w:val="left"/>
            </w:pPr>
            <w:r>
              <w:t xml:space="preserve">Nivel 0</w:t>
            </w:r>
          </w:p>
        </w:tc>
        <w:tc>
          <w:tcPr/>
          <w:p>
            <w:pPr>
              <w:pStyle w:val="Compact"/>
              <w:jc w:val="left"/>
            </w:pPr>
            <w:r>
              <w:t xml:space="preserve">Nivel 1</w:t>
            </w:r>
          </w:p>
        </w:tc>
        <w:tc>
          <w:tcPr/>
          <w:p>
            <w:pPr>
              <w:pStyle w:val="Compact"/>
              <w:jc w:val="left"/>
            </w:pPr>
            <w:r>
              <w:t xml:space="preserve">Nivel 2</w:t>
            </w:r>
          </w:p>
        </w:tc>
      </w:tr>
      <w:tr>
        <w:tc>
          <w:tcPr/>
          <w:p>
            <w:pPr>
              <w:pStyle w:val="Compact"/>
              <w:jc w:val="left"/>
            </w:pPr>
            <w:r>
              <w:t xml:space="preserve">LFPDPPP 2025 (derechos ARCO, sanciones hasta 320,000 UMA)</w:t>
            </w:r>
            <w:r>
              <w:t xml:space="preserve"> </w:t>
            </w:r>
            <w:fldSimple w:instr="NOTEREF _Ref_Footnote_46 \h \f">
              <w:r>
                <w:rPr>
                  <w:vertAlign w:val="superscript"/>
                </w:rPr>
                <w:t>46</w:t>
              </w:r>
            </w:fldSimple>
            <w:r>
              <w:t xml:space="preserve"> </w:t>
            </w:r>
            <w:fldSimple w:instr="NOTEREF _Ref_Footnote_22 \h \f">
              <w:r>
                <w:rPr>
                  <w:vertAlign w:val="superscript"/>
                </w:rPr>
                <w:t>22</w:t>
              </w:r>
            </w:fldSimple>
          </w:p>
        </w:tc>
        <w:tc>
          <w:tcPr/>
          <w:p>
            <w:pPr>
              <w:pStyle w:val="Compact"/>
              <w:jc w:val="left"/>
            </w:pPr>
            <w:r>
              <w:t xml:space="preserve">Plataforma como responsable frente al usuario; consentimientos expresos para datos sensibles y para cada remisión de documentos al abogado</w:t>
            </w:r>
          </w:p>
        </w:tc>
        <w:tc>
          <w:tcPr/>
          <w:p>
            <w:pPr>
              <w:pStyle w:val="Compact"/>
              <w:jc w:val="left"/>
            </w:pPr>
            <w:r>
              <w:t xml:space="preserve">Plataforma como</w:t>
            </w:r>
            <w:r>
              <w:t xml:space="preserve"> </w:t>
            </w:r>
            <w:r>
              <w:rPr>
                <w:bCs/>
                <w:b/>
              </w:rPr>
              <w:t xml:space="preserve">encargada</w:t>
            </w:r>
            <w:r>
              <w:t xml:space="preserve"> </w:t>
            </w:r>
            <w:r>
              <w:t xml:space="preserve">(DPA, no entrenamiento, supresión verificable)</w:t>
            </w:r>
          </w:p>
        </w:tc>
        <w:tc>
          <w:tcPr/>
          <w:p>
            <w:pPr>
              <w:pStyle w:val="Compact"/>
              <w:jc w:val="left"/>
            </w:pPr>
            <w:r>
              <w:t xml:space="preserve">El despacho conserva la custodia total; la plataforma solo sincroniza corpus público y da soporte</w:t>
            </w:r>
          </w:p>
        </w:tc>
      </w:tr>
      <w:tr>
        <w:tc>
          <w:tcPr/>
          <w:p>
            <w:pPr>
              <w:pStyle w:val="Compact"/>
              <w:jc w:val="left"/>
            </w:pPr>
            <w:r>
              <w:t xml:space="preserve">Ejercicio profesional (art. 5° const.; solo orientación informativa por IA)</w:t>
            </w:r>
            <w:r>
              <w:t xml:space="preserve"> </w:t>
            </w:r>
            <w:fldSimple w:instr="NOTEREF _Ref_Footnote_41 \h \f">
              <w:r>
                <w:rPr>
                  <w:vertAlign w:val="superscript"/>
                </w:rPr>
                <w:t>41</w:t>
              </w:r>
            </w:fldSimple>
          </w:p>
        </w:tc>
        <w:tc>
          <w:tcPr/>
          <w:p>
            <w:pPr>
              <w:pStyle w:val="Compact"/>
              <w:jc w:val="left"/>
            </w:pPr>
            <w:r>
              <w:rPr>
                <w:bCs/>
                <w:b/>
              </w:rPr>
              <w:t xml:space="preserve">Crítico</w:t>
            </w:r>
            <w:r>
              <w:t xml:space="preserve">: toda asesoría la firma abogado con cédula verificada SEP</w:t>
            </w:r>
            <w:r>
              <w:t xml:space="preserve"> </w:t>
            </w:r>
            <w:fldSimple w:instr="NOTEREF _Ref_Footnote_42 \h \f">
              <w:r>
                <w:rPr>
                  <w:vertAlign w:val="superscript"/>
                </w:rPr>
                <w:t>42</w:t>
              </w:r>
            </w:fldSimple>
          </w:p>
        </w:tc>
        <w:tc>
          <w:tcPr/>
          <w:p>
            <w:pPr>
              <w:pStyle w:val="Compact"/>
              <w:jc w:val="left"/>
            </w:pPr>
            <w:r>
              <w:t xml:space="preserve">No aplica (el usuario es el abogado)</w:t>
            </w:r>
          </w:p>
        </w:tc>
        <w:tc>
          <w:tcPr/>
          <w:p>
            <w:pPr>
              <w:pStyle w:val="Compact"/>
              <w:jc w:val="left"/>
            </w:pPr>
            <w:r>
              <w:t xml:space="preserve">No aplica (herramienta interna)</w:t>
            </w:r>
          </w:p>
        </w:tc>
      </w:tr>
      <w:tr>
        <w:tc>
          <w:tcPr/>
          <w:p>
            <w:pPr>
              <w:pStyle w:val="Compact"/>
              <w:jc w:val="left"/>
            </w:pPr>
            <w:r>
              <w:t xml:space="preserve">Secreto profesional</w:t>
            </w:r>
            <w:r>
              <w:t xml:space="preserve"> </w:t>
            </w:r>
            <w:fldSimple w:instr="NOTEREF _Ref_Footnote_44 \h \f">
              <w:r>
                <w:rPr>
                  <w:vertAlign w:val="superscript"/>
                </w:rPr>
                <w:t>44</w:t>
              </w:r>
            </w:fldSimple>
            <w:r>
              <w:t xml:space="preserve"> </w:t>
            </w:r>
            <w:fldSimple w:instr="NOTEREF _Ref_Footnote_55 \h \f">
              <w:r>
                <w:rPr>
                  <w:vertAlign w:val="superscript"/>
                </w:rPr>
                <w:t>55</w:t>
              </w:r>
            </w:fldSimple>
          </w:p>
        </w:tc>
        <w:tc>
          <w:tcPr/>
          <w:p>
            <w:pPr>
              <w:pStyle w:val="Compact"/>
              <w:jc w:val="left"/>
            </w:pPr>
            <w:r>
              <w:t xml:space="preserve">Extendido a la plataforma como colaborador; chat con consentimiento de grabación</w:t>
            </w:r>
          </w:p>
        </w:tc>
        <w:tc>
          <w:tcPr/>
          <w:p>
            <w:pPr>
              <w:pStyle w:val="Compact"/>
              <w:jc w:val="left"/>
            </w:pPr>
            <w:r>
              <w:t xml:space="preserve">Cifrado E2E con llaves del abogado</w:t>
            </w:r>
          </w:p>
        </w:tc>
        <w:tc>
          <w:tcPr/>
          <w:p>
            <w:pPr>
              <w:pStyle w:val="Compact"/>
              <w:jc w:val="left"/>
            </w:pPr>
            <w:r>
              <w:t xml:space="preserve">Resuelto por arquitectura: los datos no salen del despacho</w:t>
            </w:r>
          </w:p>
        </w:tc>
      </w:tr>
      <w:tr>
        <w:tc>
          <w:tcPr/>
          <w:p>
            <w:pPr>
              <w:pStyle w:val="Compact"/>
              <w:jc w:val="left"/>
            </w:pPr>
            <w:r>
              <w:t xml:space="preserve">Ética de captación (BMA art. 33.4)</w:t>
            </w:r>
            <w:r>
              <w:t xml:space="preserve"> </w:t>
            </w:r>
            <w:fldSimple w:instr="NOTEREF _Ref_Footnote_43 \h \f">
              <w:r>
                <w:rPr>
                  <w:vertAlign w:val="superscript"/>
                </w:rPr>
                <w:t>43</w:t>
              </w:r>
            </w:fldSimple>
          </w:p>
        </w:tc>
        <w:tc>
          <w:tcPr/>
          <w:p>
            <w:pPr>
              <w:pStyle w:val="Compact"/>
              <w:jc w:val="left"/>
            </w:pPr>
            <w:r>
              <w:t xml:space="preserve">Modelo de consultorio tecnológico; sin promesas de resultados; ranking no comparativo</w:t>
            </w:r>
          </w:p>
        </w:tc>
        <w:tc>
          <w:tcPr/>
          <w:p>
            <w:pPr>
              <w:pStyle w:val="Compact"/>
              <w:jc w:val="left"/>
            </w:pPr>
            <w:r>
              <w:t xml:space="preserve">Comisión transparente; honorarios los fija el abogado</w:t>
            </w:r>
          </w:p>
        </w:tc>
        <w:tc>
          <w:tcPr/>
          <w:p>
            <w:pPr>
              <w:pStyle w:val="Compact"/>
              <w:jc w:val="left"/>
            </w:pPr>
            <w:r>
              <w:t xml:space="preserve">No aplica</w:t>
            </w:r>
          </w:p>
        </w:tc>
      </w:tr>
      <w:tr>
        <w:tc>
          <w:tcPr/>
          <w:p>
            <w:pPr>
              <w:pStyle w:val="Compact"/>
              <w:jc w:val="left"/>
            </w:pPr>
            <w:r>
              <w:t xml:space="preserve">NOM-151 (valor probatorio)</w:t>
            </w:r>
            <w:r>
              <w:t xml:space="preserve"> </w:t>
            </w:r>
            <w:fldSimple w:instr="NOTEREF _Ref_Footnote_52 \h \f">
              <w:r>
                <w:rPr>
                  <w:vertAlign w:val="superscript"/>
                </w:rPr>
                <w:t>52</w:t>
              </w:r>
            </w:fldSimple>
            <w:r>
              <w:t xml:space="preserve"> </w:t>
            </w:r>
            <w:r>
              <w:rPr>
                <w:vertAlign w:val="superscript"/>
              </w:rPr>
              <w:footnoteReference w:id="73"/>
            </w:r>
          </w:p>
        </w:tc>
        <w:tc>
          <w:tcPr/>
          <w:p>
            <w:pPr>
              <w:pStyle w:val="Compact"/>
              <w:jc w:val="left"/>
            </w:pPr>
            <w:r>
              <w:t xml:space="preserve">Sellado del expediente compartido como premium</w:t>
            </w:r>
          </w:p>
        </w:tc>
        <w:tc>
          <w:tcPr/>
          <w:p>
            <w:pPr>
              <w:pStyle w:val="Compact"/>
              <w:jc w:val="left"/>
            </w:pPr>
            <w:r>
              <w:t xml:space="preserve">Sellado del expediente del despacho</w:t>
            </w:r>
          </w:p>
        </w:tc>
        <w:tc>
          <w:tcPr/>
          <w:p>
            <w:pPr>
              <w:pStyle w:val="Compact"/>
              <w:jc w:val="left"/>
            </w:pPr>
            <w:r>
              <w:t xml:space="preserve">Sellado del archivo digitalizado</w:t>
            </w:r>
          </w:p>
        </w:tc>
      </w:tr>
      <w:tr>
        <w:tc>
          <w:tcPr/>
          <w:p>
            <w:pPr>
              <w:pStyle w:val="Compact"/>
              <w:jc w:val="left"/>
            </w:pPr>
            <w:r>
              <w:t xml:space="preserve">Protección al consumidor (LFPC)</w:t>
            </w:r>
          </w:p>
        </w:tc>
        <w:tc>
          <w:tcPr/>
          <w:p>
            <w:pPr>
              <w:pStyle w:val="Compact"/>
              <w:jc w:val="left"/>
            </w:pPr>
            <w:r>
              <w:t xml:space="preserve">Precios claros, publicidad veraz</w:t>
            </w:r>
          </w:p>
        </w:tc>
        <w:tc>
          <w:tcPr/>
          <w:p>
            <w:pPr>
              <w:pStyle w:val="Compact"/>
              <w:jc w:val="left"/>
            </w:pPr>
            <w:r>
              <w:t xml:space="preserve">—</w:t>
            </w:r>
          </w:p>
        </w:tc>
        <w:tc>
          <w:tcPr/>
          <w:p>
            <w:pPr>
              <w:pStyle w:val="Compact"/>
              <w:jc w:val="left"/>
            </w:pPr>
            <w:r>
              <w:t xml:space="preserve">—</w:t>
            </w:r>
          </w:p>
        </w:tc>
      </w:tr>
    </w:tbl>
    <w:p>
      <w:pPr>
        <w:pStyle w:val="BodyText"/>
      </w:pPr>
      <w:r>
        <w:t xml:space="preserve">La incertidumbre regulatoria identificada en la investigación original permanece y afecta sobre todo al Nivel 0: la transición del INAI a la Secretaría Anticorrupción y Buen Gobierno aún está en desarrollo (con reglamento pendiente al momento de esta investigación), por lo que el diseño de consentimientos debe hacerse con margen conservador</w:t>
      </w:r>
      <w:r>
        <w:t xml:space="preserve"> </w:t>
      </w:r>
      <w:fldSimple w:instr="NOTEREF _Ref_Footnote_62 \h \f">
        <w:r>
          <w:rPr>
            <w:vertAlign w:val="superscript"/>
          </w:rPr>
          <w:t>62</w:t>
        </w:r>
      </w:fldSimple>
      <w:r>
        <w:t xml:space="preserve">. En contrapartida, el Nivel 2 gana solidez jurídica precisamente por la vía arquitectónica: cuando los datos privilegiados nunca tocan una red pública, el cumplimiento del deber de confidencialidad es estructural y no contractual —el mismo argumento que los proveedores estadounidenses de IA on-premise usan respecto a la regla 1.6 de la ABA</w:t>
      </w:r>
      <w:r>
        <w:t xml:space="preserve"> </w:t>
      </w:r>
      <w:fldSimple w:instr="NOTEREF _Ref_Footnote_31 \h \f">
        <w:r>
          <w:rPr>
            <w:vertAlign w:val="superscript"/>
          </w:rPr>
          <w:t>31</w:t>
        </w:r>
      </w:fldSimple>
      <w:r>
        <w:t xml:space="preserve">.</w:t>
      </w:r>
    </w:p>
    <w:p>
      <w:r>
        <w:pict>
          <v:rect style="width:0;height:1.5pt" o:hralign="center" o:hrstd="t" o:hr="t"/>
        </w:pict>
      </w:r>
    </w:p>
    <w:bookmarkEnd w:id="60"/>
    <w:bookmarkStart w:id="61" w:name="X89c43b7e60005ab5c9b663c4719c8e3fa29f9ab"/>
    <w:p>
      <w:pPr>
        <w:pStyle w:val="Heading2"/>
      </w:pPr>
      <w:r>
        <w:t xml:space="preserve">10. Roadmap: secuencia recomendada de construcción y lanzamiento</w:t>
      </w:r>
    </w:p>
    <w:p>
      <w:pPr>
        <w:pStyle w:val="FirstParagraph"/>
      </w:pPr>
      <w:r>
        <w:rPr>
          <w:bCs/>
          <w:b/>
        </w:rPr>
        <w:t xml:space="preserve">Fase 1 (meses 0–9) — Motor + Nivel 1.</w:t>
      </w:r>
      <w:r>
        <w:t xml:space="preserve"> </w:t>
      </w:r>
      <w:r>
        <w:t xml:space="preserve">Construcción del corpus con ingesta automatizada diaria (DOF, LeyesBiblio, SJF, Orden Jurídico, primeras gacetas estatales), índice híbrido, resolvedor de citas y verificación NLI; entrenamiento del modelo destilado (pasos 1–4 de la sección 7.4); cifrado E2E y el asistente para abogados con historial cifrado. Lanzamiento del Nivel 1 con precio de early adopter y red semilla de abogados con cédula verificada.</w:t>
      </w:r>
      <w:r>
        <w:t xml:space="preserve"> </w:t>
      </w:r>
      <w:r>
        <w:rPr>
          <w:bCs/>
          <w:b/>
        </w:rPr>
        <w:t xml:space="preserve">Criterio de salida:</w:t>
      </w:r>
      <w:r>
        <w:t xml:space="preserve"> </w:t>
      </w:r>
      <w:r>
        <w:t xml:space="preserve">tasa de citas incorrectas &lt; 2% medida por auditoría externa sobre un benchmark jurídico mexicano propio (tipo LegalBench adaptado)</w:t>
      </w:r>
      <w:r>
        <w:t xml:space="preserve"> </w:t>
      </w:r>
      <w:fldSimple w:instr="NOTEREF _Ref_Footnote_5 \h \f">
        <w:r>
          <w:rPr>
            <w:vertAlign w:val="superscript"/>
          </w:rPr>
          <w:t>5</w:t>
        </w:r>
      </w:fldSimple>
      <w:r>
        <w:t xml:space="preserve"> </w:t>
      </w:r>
      <w:fldSimple w:instr="NOTEREF _Ref_Footnote_8 \h \f">
        <w:r>
          <w:rPr>
            <w:vertAlign w:val="superscript"/>
          </w:rPr>
          <w:t>8</w:t>
        </w:r>
      </w:fldSimple>
      <w:r>
        <w:t xml:space="preserve">, y N abogados de pago recurrentes.</w:t>
      </w:r>
    </w:p>
    <w:p>
      <w:pPr>
        <w:pStyle w:val="BodyText"/>
      </w:pPr>
      <w:r>
        <w:rPr>
          <w:bCs/>
          <w:b/>
        </w:rPr>
        <w:t xml:space="preserve">Fase 2 (meses 9–18) — Nivel 0.</w:t>
      </w:r>
      <w:r>
        <w:t xml:space="preserve"> </w:t>
      </w:r>
      <w:r>
        <w:t xml:space="preserve">Orientación IA gratuita como imán, flujo de validación por abogado con pago único (Conekta Efectivo/OXXO, tarjeta, SPEI), escrow con split payments, OCR de documentos del usuario vía cámara, y matching con la red semilla ya entrenada en validar borradores</w:t>
      </w:r>
      <w:r>
        <w:t xml:space="preserve"> </w:t>
      </w:r>
      <w:fldSimple w:instr="NOTEREF _Ref_Footnote_27 \h \f">
        <w:r>
          <w:rPr>
            <w:vertAlign w:val="superscript"/>
          </w:rPr>
          <w:t>27</w:t>
        </w:r>
      </w:fldSimple>
      <w:r>
        <w:t xml:space="preserve"> </w:t>
      </w:r>
      <w:fldSimple w:instr="NOTEREF _Ref_Footnote_45 \h \f">
        <w:r>
          <w:rPr>
            <w:vertAlign w:val="superscript"/>
          </w:rPr>
          <w:t>45</w:t>
        </w:r>
      </w:fldSimple>
      <w:r>
        <w:t xml:space="preserve">. El Nivel 0 no debe lanzarse antes de tener red de abogados densa: sin validadores, el imán de demanda se convierte en frustración acumulada</w:t>
      </w:r>
      <w:r>
        <w:t xml:space="preserve"> </w:t>
      </w:r>
      <w:fldSimple w:instr="NOTEREF _Ref_Footnote_2 \h \f">
        <w:r>
          <w:rPr>
            <w:vertAlign w:val="superscript"/>
          </w:rPr>
          <w:t>2</w:t>
        </w:r>
      </w:fldSimple>
      <w:r>
        <w:t xml:space="preserve">. Desde el día uno, los pares borrador/aprobación alimentan el re-afinado periódico del modelo (paso 5 de la sección 7.4).</w:t>
      </w:r>
    </w:p>
    <w:p>
      <w:pPr>
        <w:pStyle w:val="BodyText"/>
      </w:pPr>
      <w:r>
        <w:rPr>
          <w:bCs/>
          <w:b/>
        </w:rPr>
        <w:t xml:space="preserve">Fase 3 (meses 15–24) — Nivel 2.</w:t>
      </w:r>
      <w:r>
        <w:t xml:space="preserve"> </w:t>
      </w:r>
      <w:r>
        <w:t xml:space="preserve">Empaquetado del núcleo como licencia desplegable: instalador on-premise/VPC, sincronización firmada del corpus, panel de auditoría, stack del modelo destilado sobre hardware de referencia (DGX Spark / RTX PRO 6000) y el servicio de digitalización OCR del archivo histórico como proyecto de entrada</w:t>
      </w:r>
      <w:r>
        <w:t xml:space="preserve"> </w:t>
      </w:r>
      <w:fldSimple w:instr="NOTEREF _Ref_Footnote_16 \h \f">
        <w:r>
          <w:rPr>
            <w:vertAlign w:val="superscript"/>
          </w:rPr>
          <w:t>16</w:t>
        </w:r>
      </w:fldSimple>
      <w:r>
        <w:t xml:space="preserve"> </w:t>
      </w:r>
      <w:fldSimple w:instr="NOTEREF _Ref_Footnote_17 \h \f">
        <w:r>
          <w:rPr>
            <w:vertAlign w:val="superscript"/>
          </w:rPr>
          <w:t>17</w:t>
        </w:r>
      </w:fldSimple>
      <w:r>
        <w:t xml:space="preserve">. Venta inicial a 2–3 despachos ancla, idealmente salidos de la propia red del Nivel 1 o del ranking de firmas medianas en adopción temprana.</w:t>
      </w:r>
    </w:p>
    <w:p>
      <w:pPr>
        <w:pStyle w:val="BodyText"/>
      </w:pPr>
      <w:r>
        <w:rPr>
          <w:bCs/>
          <w:b/>
        </w:rPr>
        <w:t xml:space="preserve">Fase 4 (continua) — Profundización.</w:t>
      </w:r>
      <w:r>
        <w:t xml:space="preserve"> </w:t>
      </w:r>
      <w:r>
        <w:t xml:space="preserve">NOM-151 como módulo transversal, seguimiento procesal con expedientes electrónicos judiciales, cobertura municipal, reemplazo periódico del modelo base conforme mejoran los pesos abiertos, y evaluación de expansión del modelo</w:t>
      </w:r>
      <w:r>
        <w:t xml:space="preserve"> </w:t>
      </w:r>
      <w:r>
        <w:t xml:space="preserve">“</w:t>
      </w:r>
      <w:r>
        <w:t xml:space="preserve">pregunta pagada en efectivo</w:t>
      </w:r>
      <w:r>
        <w:t xml:space="preserve">”</w:t>
      </w:r>
      <w:r>
        <w:t xml:space="preserve"> </w:t>
      </w:r>
      <w:r>
        <w:t xml:space="preserve">a otros países de la región con infraestructura de corresponsales similar</w:t>
      </w:r>
      <w:r>
        <w:t xml:space="preserve"> </w:t>
      </w:r>
      <w:fldSimple w:instr="NOTEREF _Ref_Footnote_52 \h \f">
        <w:r>
          <w:rPr>
            <w:vertAlign w:val="superscript"/>
          </w:rPr>
          <w:t>52</w:t>
        </w:r>
      </w:fldSimple>
      <w:r>
        <w:t xml:space="preserve"> </w:t>
      </w:r>
      <w:fldSimple w:instr="NOTEREF _Ref_Footnote_26 \h \f">
        <w:r>
          <w:rPr>
            <w:vertAlign w:val="superscript"/>
          </w:rPr>
          <w:t>26</w:t>
        </w:r>
      </w:fldSimple>
      <w:r>
        <w:t xml:space="preserve"> </w:t>
      </w:r>
      <w:fldSimple w:instr="NOTEREF _Ref_Footnote_60 \h \f">
        <w:r>
          <w:rPr>
            <w:vertAlign w:val="superscript"/>
          </w:rPr>
          <w:t>60</w:t>
        </w:r>
      </w:fldSimple>
      <w:r>
        <w:t xml:space="preserve">.</w:t>
      </w:r>
    </w:p>
    <w:p>
      <w:r>
        <w:pict>
          <v:rect style="width:0;height:1.5pt" o:hralign="center" o:hrstd="t" o:hr="t"/>
        </w:pict>
      </w:r>
    </w:p>
    <w:bookmarkEnd w:id="61"/>
    <w:bookmarkStart w:id="62" w:name="riesgos-actualizados-del-plan"/>
    <w:p>
      <w:pPr>
        <w:pStyle w:val="Heading2"/>
      </w:pPr>
      <w:r>
        <w:t xml:space="preserve">11. Riesgos actualizados del plan</w:t>
      </w:r>
    </w:p>
    <w:p>
      <w:pPr>
        <w:pStyle w:val="FirstParagraph"/>
      </w:pPr>
      <w:r>
        <w:t xml:space="preserve">A los cinco riesgos de la investigación original (alucinación de citas, competencia con músculo financiero, volatilidad normativa, responsabilidad profesional e incertidumbre regulatoria de datos)</w:t>
      </w:r>
      <w:r>
        <w:t xml:space="preserve"> </w:t>
      </w:r>
      <w:fldSimple w:instr="NOTEREF _Ref_Footnote_21 \h \f">
        <w:r>
          <w:rPr>
            <w:vertAlign w:val="superscript"/>
          </w:rPr>
          <w:t>21</w:t>
        </w:r>
      </w:fldSimple>
      <w:r>
        <w:t xml:space="preserve"> </w:t>
      </w:r>
      <w:fldSimple w:instr="NOTEREF _Ref_Footnote_23 \h \f">
        <w:r>
          <w:rPr>
            <w:vertAlign w:val="superscript"/>
          </w:rPr>
          <w:t>23</w:t>
        </w:r>
      </w:fldSimple>
      <w:r>
        <w:t xml:space="preserve"> </w:t>
      </w:r>
      <w:fldSimple w:instr="NOTEREF _Ref_Footnote_46 \h \f">
        <w:r>
          <w:rPr>
            <w:vertAlign w:val="superscript"/>
          </w:rPr>
          <w:t>46</w:t>
        </w:r>
      </w:fldSimple>
      <w:r>
        <w:t xml:space="preserve">, la estructura de tres niveles y el motor propio añaden cinco específicos:</w:t>
      </w:r>
    </w:p>
    <w:p>
      <w:pPr>
        <w:numPr>
          <w:ilvl w:val="0"/>
          <w:numId w:val="1003"/>
        </w:numPr>
        <w:pStyle w:val="Compact"/>
      </w:pPr>
      <w:r>
        <w:rPr>
          <w:bCs/>
          <w:b/>
        </w:rPr>
        <w:t xml:space="preserve">Complejidad de ejecutar tres frentes.</w:t>
      </w:r>
      <w:r>
        <w:t xml:space="preserve"> </w:t>
      </w:r>
      <w:r>
        <w:t xml:space="preserve">Tres niveles no deben significar tres lanzamientos simultáneos: la secuencia de la sección 10 existe para que cada nivel llegue con su dependencia resuelta (motor → red → demanda → empresa). El riesgo real es de foco, no de concepto.</w:t>
      </w:r>
    </w:p>
    <w:p>
      <w:pPr>
        <w:numPr>
          <w:ilvl w:val="0"/>
          <w:numId w:val="1003"/>
        </w:numPr>
        <w:pStyle w:val="Compact"/>
      </w:pPr>
      <w:r>
        <w:rPr>
          <w:bCs/>
          <w:b/>
        </w:rPr>
        <w:t xml:space="preserve">Calidad del modelo propio vs. expectativa</w:t>
      </w:r>
      <w:r>
        <w:rPr>
          <w:bCs/>
          <w:b/>
        </w:rPr>
        <w:t xml:space="preserve"> </w:t>
      </w:r>
      <w:r>
        <w:rPr>
          <w:bCs/>
          <w:b/>
        </w:rPr>
        <w:t xml:space="preserve">“</w:t>
      </w:r>
      <w:r>
        <w:rPr>
          <w:bCs/>
          <w:b/>
        </w:rPr>
        <w:t xml:space="preserve">GPT</w:t>
      </w:r>
      <w:r>
        <w:rPr>
          <w:bCs/>
          <w:b/>
        </w:rPr>
        <w:t xml:space="preserve">”</w:t>
      </w:r>
      <w:r>
        <w:rPr>
          <w:bCs/>
          <w:b/>
        </w:rPr>
        <w:t xml:space="preserve">.</w:t>
      </w:r>
      <w:r>
        <w:t xml:space="preserve"> </w:t>
      </w:r>
      <w:r>
        <w:t xml:space="preserve">Un modelo de 7B–32B puede sonar inferior ante un cliente que conoce ChatGPT. Mitigación: demostrar, no argumentar —publicar el benchmark jurídico mexicano con resultados auditados, y recordar que la evidencia (SaulLM, R1-Distill, SimpleQA) muestra al especializado anclado superando al generalista en el dominio</w:t>
      </w:r>
      <w:r>
        <w:t xml:space="preserve"> </w:t>
      </w:r>
      <w:fldSimple w:instr="NOTEREF _Ref_Footnote_5 \h \f">
        <w:r>
          <w:rPr>
            <w:vertAlign w:val="superscript"/>
          </w:rPr>
          <w:t>5</w:t>
        </w:r>
      </w:fldSimple>
      <w:r>
        <w:t xml:space="preserve"> </w:t>
      </w:r>
      <w:fldSimple w:instr="NOTEREF _Ref_Footnote_7 \h \f">
        <w:r>
          <w:rPr>
            <w:vertAlign w:val="superscript"/>
          </w:rPr>
          <w:t>7</w:t>
        </w:r>
      </w:fldSimple>
      <w:r>
        <w:t xml:space="preserve"> </w:t>
      </w:r>
      <w:fldSimple w:instr="NOTEREF _Ref_Footnote_69 \h \f">
        <w:r>
          <w:rPr>
            <w:vertAlign w:val="superscript"/>
          </w:rPr>
          <w:t>69</w:t>
        </w:r>
      </w:fldSimple>
      <w:r>
        <w:t xml:space="preserve">. El riesgo residual de degradación por destilación en tareas fuera del dominio existe —está medido en algunas variantes destiladas— y se mitiga manteniendo datos genéricos de replay en el ajuste</w:t>
      </w:r>
      <w:r>
        <w:t xml:space="preserve"> </w:t>
      </w:r>
      <w:r>
        <w:rPr>
          <w:vertAlign w:val="superscript"/>
        </w:rPr>
        <w:footnoteReference w:id="74"/>
      </w:r>
      <w:r>
        <w:t xml:space="preserve">.</w:t>
      </w:r>
    </w:p>
    <w:p>
      <w:pPr>
        <w:numPr>
          <w:ilvl w:val="0"/>
          <w:numId w:val="1003"/>
        </w:numPr>
        <w:pStyle w:val="Compact"/>
      </w:pPr>
      <w:r>
        <w:rPr>
          <w:bCs/>
          <w:b/>
        </w:rPr>
        <w:t xml:space="preserve">Fraude y calidad en el Nivel 0.</w:t>
      </w:r>
      <w:r>
        <w:t xml:space="preserve"> </w:t>
      </w:r>
      <w:r>
        <w:t xml:space="preserve">El pago en efectivo anonimiza al comprador y multiplica el volumen de casos triviales o abusivos; se mitiga con verificación de cédula, rating, seguro de responsabilidad profesional para la red, límites de materia (penal urgente siempre a humano en vivo) y la trazabilidad IA→abogado→cliente ya diseñada.</w:t>
      </w:r>
    </w:p>
    <w:p>
      <w:pPr>
        <w:numPr>
          <w:ilvl w:val="0"/>
          <w:numId w:val="1003"/>
        </w:numPr>
        <w:pStyle w:val="Compact"/>
      </w:pPr>
      <w:r>
        <w:rPr>
          <w:bCs/>
          <w:b/>
        </w:rPr>
        <w:t xml:space="preserve">Soporte del despliegue local (Nivel 2).</w:t>
      </w:r>
      <w:r>
        <w:t xml:space="preserve"> </w:t>
      </w:r>
      <w:r>
        <w:t xml:space="preserve">Vender software que corre en infraestructura ajena exige capacidad de ingeniería de campo y contratos de nivel de servicio; el modelo de sincronización firmada del corpus y las actualizaciones remotas monitoreadas lo hacen manejable, pero es una capacidad organizacional nueva respecto al SaaS puro</w:t>
      </w:r>
      <w:r>
        <w:t xml:space="preserve"> </w:t>
      </w:r>
      <w:fldSimple w:instr="NOTEREF _Ref_Footnote_28 \h \f">
        <w:r>
          <w:rPr>
            <w:vertAlign w:val="superscript"/>
          </w:rPr>
          <w:t>28</w:t>
        </w:r>
      </w:fldSimple>
      <w:r>
        <w:t xml:space="preserve">.</w:t>
      </w:r>
    </w:p>
    <w:p>
      <w:pPr>
        <w:numPr>
          <w:ilvl w:val="0"/>
          <w:numId w:val="1003"/>
        </w:numPr>
        <w:pStyle w:val="Compact"/>
      </w:pPr>
      <w:r>
        <w:rPr>
          <w:bCs/>
          <w:b/>
        </w:rPr>
        <w:t xml:space="preserve">Obsolescencia del modelo local.</w:t>
      </w:r>
      <w:r>
        <w:t xml:space="preserve"> </w:t>
      </w:r>
      <w:r>
        <w:t xml:space="preserve">Los modelos abiertos mejoran trimestralmente; el contrato de mantenimiento del Nivel 2 debe incluir el reemplazo periódico del modelo base (de ahí la importancia de que el valor resida en el corpus, el resolvedor de citas y la auditoría, no en el LLM en sí)</w:t>
      </w:r>
      <w:r>
        <w:t xml:space="preserve"> </w:t>
      </w:r>
      <w:fldSimple w:instr="NOTEREF _Ref_Footnote_60 \h \f">
        <w:r>
          <w:rPr>
            <w:vertAlign w:val="superscript"/>
          </w:rPr>
          <w:t>60</w:t>
        </w:r>
      </w:fldSimple>
      <w:r>
        <w:t xml:space="preserve">.</w:t>
      </w:r>
    </w:p>
    <w:p>
      <w:pPr>
        <w:pStyle w:val="FirstParagraph"/>
      </w:pPr>
      <w:r>
        <w:t xml:space="preserve">Los riesgos competitivos merecen una actualización: Thomson Reuters ya está en México con CoCounsel Core desde junio de 2026 y Clio/vLex tiene contenido y distribución regional, pero</w:t>
      </w:r>
      <w:r>
        <w:t xml:space="preserve"> </w:t>
      </w:r>
      <w:r>
        <w:rPr>
          <w:bCs/>
          <w:b/>
        </w:rPr>
        <w:t xml:space="preserve">ninguno de los dos opera pago por consulta al consumidor, cobro en efectivo, ni despliegue on-premise del LLM</w:t>
      </w:r>
      <w:r>
        <w:t xml:space="preserve">; los locales (Lexfania, LexIDE, LemonTech/LIA) operan variantes del Nivel 1 sin marketplace, sin cifrado E2E y sin nivel empresarial local</w:t>
      </w:r>
      <w:r>
        <w:t xml:space="preserve"> </w:t>
      </w:r>
      <w:fldSimple w:instr="NOTEREF _Ref_Footnote_23 \h \f">
        <w:r>
          <w:rPr>
            <w:vertAlign w:val="superscript"/>
          </w:rPr>
          <w:t>23</w:t>
        </w:r>
      </w:fldSimple>
      <w:r>
        <w:t xml:space="preserve"> </w:t>
      </w:r>
      <w:fldSimple w:instr="NOTEREF _Ref_Footnote_20 \h \f">
        <w:r>
          <w:rPr>
            <w:vertAlign w:val="superscript"/>
          </w:rPr>
          <w:t>20</w:t>
        </w:r>
      </w:fldSimple>
      <w:r>
        <w:t xml:space="preserve"> </w:t>
      </w:r>
      <w:fldSimple w:instr="NOTEREF _Ref_Footnote_24 \h \f">
        <w:r>
          <w:rPr>
            <w:vertAlign w:val="superscript"/>
          </w:rPr>
          <w:t>24</w:t>
        </w:r>
      </w:fldSimple>
      <w:r>
        <w:t xml:space="preserve"> </w:t>
      </w:r>
      <w:fldSimple w:instr="NOTEREF _Ref_Footnote_73 \h \f">
        <w:r>
          <w:rPr>
            <w:vertAlign w:val="superscript"/>
          </w:rPr>
          <w:t>73</w:t>
        </w:r>
      </w:fldSimple>
      <w:r>
        <w:t xml:space="preserve">. El espacio de los tres niveles integrados sigue vacío; la ventaja es ejecutiva, no conceptual.</w:t>
      </w:r>
    </w:p>
    <w:p>
      <w:r>
        <w:pict>
          <v:rect style="width:0;height:1.5pt" o:hralign="center" o:hrstd="t" o:hr="t"/>
        </w:pict>
      </w:r>
    </w:p>
    <w:bookmarkEnd w:id="62"/>
    <w:bookmarkStart w:id="63" w:name="Xc3ac0431b31c5d8cc9bca9a28f69bb87f8fa23e"/>
    <w:p>
      <w:pPr>
        <w:pStyle w:val="Heading2"/>
      </w:pPr>
      <w:r>
        <w:t xml:space="preserve">12. Recomendaciones estratégicas (síntesis final)</w:t>
      </w:r>
    </w:p>
    <w:p>
      <w:pPr>
        <w:numPr>
          <w:ilvl w:val="0"/>
          <w:numId w:val="1004"/>
        </w:numPr>
        <w:pStyle w:val="Compact"/>
      </w:pPr>
      <w:r>
        <w:rPr>
          <w:bCs/>
          <w:b/>
        </w:rPr>
        <w:t xml:space="preserve">Adoptar la arquitectura de un núcleo y tres niveles como documento rector.</w:t>
      </w:r>
      <w:r>
        <w:t xml:space="preserve"> </w:t>
      </w:r>
      <w:r>
        <w:t xml:space="preserve">Todo desarrollo se evalúa por su contribución al núcleo compartido; ningún nivel construye capacidades propias que otro nivel necesite.</w:t>
      </w:r>
    </w:p>
    <w:p>
      <w:pPr>
        <w:numPr>
          <w:ilvl w:val="0"/>
          <w:numId w:val="1004"/>
        </w:numPr>
        <w:pStyle w:val="Compact"/>
      </w:pPr>
      <w:r>
        <w:rPr>
          <w:bCs/>
          <w:b/>
        </w:rPr>
        <w:t xml:space="preserve">Construir el motor destilado + RAG + verificación antes que cualquier nivel</w:t>
      </w:r>
      <w:r>
        <w:t xml:space="preserve">, con la meta medible de &lt;2% de citas incorrectas auditadas externamente: es el diferenciador que la competencia global (17–34% de alucinación documentada) no puede reclamar y el habilitador económico de los tres precios</w:t>
      </w:r>
      <w:r>
        <w:t xml:space="preserve"> </w:t>
      </w:r>
      <w:fldSimple w:instr="NOTEREF _Ref_Footnote_21 \h \f">
        <w:r>
          <w:rPr>
            <w:vertAlign w:val="superscript"/>
          </w:rPr>
          <w:t>21</w:t>
        </w:r>
      </w:fldSimple>
      <w:r>
        <w:t xml:space="preserve"> </w:t>
      </w:r>
      <w:fldSimple w:instr="NOTEREF _Ref_Footnote_8 \h \f">
        <w:r>
          <w:rPr>
            <w:vertAlign w:val="superscript"/>
          </w:rPr>
          <w:t>8</w:t>
        </w:r>
      </w:fldSimple>
      <w:r>
        <w:t xml:space="preserve"> </w:t>
      </w:r>
      <w:fldSimple w:instr="NOTEREF _Ref_Footnote_34 \h \f">
        <w:r>
          <w:rPr>
            <w:vertAlign w:val="superscript"/>
          </w:rPr>
          <w:t>34</w:t>
        </w:r>
      </w:fldSimple>
      <w:r>
        <w:t xml:space="preserve">.</w:t>
      </w:r>
    </w:p>
    <w:p>
      <w:pPr>
        <w:numPr>
          <w:ilvl w:val="0"/>
          <w:numId w:val="1004"/>
        </w:numPr>
        <w:pStyle w:val="Compact"/>
      </w:pPr>
      <w:r>
        <w:rPr>
          <w:bCs/>
          <w:b/>
        </w:rPr>
        <w:t xml:space="preserve">Empezar por el Nivel 1 con precio de MXN ~499/mes</w:t>
      </w:r>
      <w:r>
        <w:t xml:space="preserve">, apuntando al segmento de 445,000 abogados que los precios en dólares excluyen, con la cobertura estatal y municipal como diferenciador frente a los globales</w:t>
      </w:r>
      <w:r>
        <w:t xml:space="preserve"> </w:t>
      </w:r>
      <w:fldSimple w:instr="NOTEREF _Ref_Footnote_13 \h \f">
        <w:r>
          <w:rPr>
            <w:vertAlign w:val="superscript"/>
          </w:rPr>
          <w:t>13</w:t>
        </w:r>
      </w:fldSimple>
      <w:r>
        <w:t xml:space="preserve"> </w:t>
      </w:r>
      <w:fldSimple w:instr="NOTEREF _Ref_Footnote_19 \h \f">
        <w:r>
          <w:rPr>
            <w:vertAlign w:val="superscript"/>
          </w:rPr>
          <w:t>19</w:t>
        </w:r>
      </w:fldSimple>
      <w:r>
        <w:t xml:space="preserve">.</w:t>
      </w:r>
    </w:p>
    <w:p>
      <w:pPr>
        <w:numPr>
          <w:ilvl w:val="0"/>
          <w:numId w:val="1004"/>
        </w:numPr>
        <w:pStyle w:val="Compact"/>
      </w:pPr>
      <w:r>
        <w:rPr>
          <w:bCs/>
          <w:b/>
        </w:rPr>
        <w:t xml:space="preserve">Lanzar el Nivel 0 solo con red densa de validadores</w:t>
      </w:r>
      <w:r>
        <w:t xml:space="preserve">, con pago en efectivo vía Conekta Efectivo/OXXO desde el día uno —no como roadmap posterior— porque es el rasgo que ningún competidor replica y el que abre la mitad del mercado que solo usa efectivo</w:t>
      </w:r>
      <w:r>
        <w:t xml:space="preserve"> </w:t>
      </w:r>
      <w:fldSimple w:instr="NOTEREF _Ref_Footnote_11 \h \f">
        <w:r>
          <w:rPr>
            <w:vertAlign w:val="superscript"/>
          </w:rPr>
          <w:t>11</w:t>
        </w:r>
      </w:fldSimple>
      <w:r>
        <w:t xml:space="preserve"> </w:t>
      </w:r>
      <w:fldSimple w:instr="NOTEREF _Ref_Footnote_33 \h \f">
        <w:r>
          <w:rPr>
            <w:vertAlign w:val="superscript"/>
          </w:rPr>
          <w:t>33</w:t>
        </w:r>
      </w:fldSimple>
      <w:r>
        <w:t xml:space="preserve">.</w:t>
      </w:r>
    </w:p>
    <w:p>
      <w:pPr>
        <w:numPr>
          <w:ilvl w:val="0"/>
          <w:numId w:val="1004"/>
        </w:numPr>
        <w:pStyle w:val="Compact"/>
      </w:pPr>
      <w:r>
        <w:rPr>
          <w:bCs/>
          <w:b/>
        </w:rPr>
        <w:t xml:space="preserve">Vender el Nivel 2 con el argumento jurídico, no el tecnológico</w:t>
      </w:r>
      <w:r>
        <w:t xml:space="preserve">:</w:t>
      </w:r>
      <w:r>
        <w:t xml:space="preserve"> </w:t>
      </w:r>
      <w:r>
        <w:t xml:space="preserve">“</w:t>
      </w:r>
      <w:r>
        <w:t xml:space="preserve">sus expedientes nunca salen de su firewall</w:t>
      </w:r>
      <w:r>
        <w:t xml:space="preserve">”</w:t>
      </w:r>
      <w:r>
        <w:t xml:space="preserve"> </w:t>
      </w:r>
      <w:r>
        <w:t xml:space="preserve">es cumplimiento estructural del secreto profesional y de la LFPDPPP; el OCR del archivo histórico es el proyecto de entrada; la licencia anual en pesos es la respuesta a Harvey y CoCounsel</w:t>
      </w:r>
      <w:r>
        <w:t xml:space="preserve"> </w:t>
      </w:r>
      <w:fldSimple w:instr="NOTEREF _Ref_Footnote_31 \h \f">
        <w:r>
          <w:rPr>
            <w:vertAlign w:val="superscript"/>
          </w:rPr>
          <w:t>31</w:t>
        </w:r>
      </w:fldSimple>
      <w:r>
        <w:t xml:space="preserve"> </w:t>
      </w:r>
      <w:fldSimple w:instr="NOTEREF _Ref_Footnote_55 \h \f">
        <w:r>
          <w:rPr>
            <w:vertAlign w:val="superscript"/>
          </w:rPr>
          <w:t>55</w:t>
        </w:r>
      </w:fldSimple>
      <w:r>
        <w:t xml:space="preserve">.</w:t>
      </w:r>
    </w:p>
    <w:p>
      <w:pPr>
        <w:numPr>
          <w:ilvl w:val="0"/>
          <w:numId w:val="1004"/>
        </w:numPr>
        <w:pStyle w:val="Compact"/>
      </w:pPr>
      <w:r>
        <w:rPr>
          <w:bCs/>
          <w:b/>
        </w:rPr>
        <w:t xml:space="preserve">Mantener el humano en el ciclo como política de producto en los tres niveles</w:t>
      </w:r>
      <w:r>
        <w:t xml:space="preserve"> </w:t>
      </w:r>
      <w:r>
        <w:t xml:space="preserve">—abstención ante baja confianza, verificación de citas contra registros reales, aprobación y firma del abogado— porque es simultáneamente la exigencia ética, la defensa regulatoria y el diferenciador de fiabilidad medido por los benchmarks</w:t>
      </w:r>
      <w:r>
        <w:t xml:space="preserve"> </w:t>
      </w:r>
      <w:fldSimple w:instr="NOTEREF _Ref_Footnote_51 \h \f">
        <w:r>
          <w:rPr>
            <w:vertAlign w:val="superscript"/>
          </w:rPr>
          <w:t>51</w:t>
        </w:r>
      </w:fldSimple>
      <w:r>
        <w:t xml:space="preserve"> </w:t>
      </w:r>
      <w:fldSimple w:instr="NOTEREF _Ref_Footnote_48 \h \f">
        <w:r>
          <w:rPr>
            <w:vertAlign w:val="superscript"/>
          </w:rPr>
          <w:t>48</w:t>
        </w:r>
      </w:fldSimple>
      <w:r>
        <w:t xml:space="preserve">.</w:t>
      </w:r>
    </w:p>
    <w:p>
      <w:pPr>
        <w:numPr>
          <w:ilvl w:val="0"/>
          <w:numId w:val="1004"/>
        </w:numPr>
        <w:pStyle w:val="Compact"/>
      </w:pPr>
      <w:r>
        <w:rPr>
          <w:bCs/>
          <w:b/>
        </w:rPr>
        <w:t xml:space="preserve">Construir el dataset de destilación desde el primer día</w:t>
      </w:r>
      <w:r>
        <w:t xml:space="preserve">: los pares borrador/aprobación del Nivel 0 y las correcciones del Nivel 1, con consentimiento, son el foso defensivo más difícil de copiar —es el activo que llevó a Álex de Legálitas a un millón de usuarios y el que hará al modelo mejorar con cada consulta</w:t>
      </w:r>
      <w:r>
        <w:t xml:space="preserve"> </w:t>
      </w:r>
      <w:fldSimple w:instr="NOTEREF _Ref_Footnote_26 \h \f">
        <w:r>
          <w:rPr>
            <w:vertAlign w:val="superscript"/>
          </w:rPr>
          <w:t>26</w:t>
        </w:r>
      </w:fldSimple>
      <w:r>
        <w:t xml:space="preserve">.</w:t>
      </w:r>
    </w:p>
    <w:p>
      <w:r>
        <w:pict>
          <v:rect style="width:0;height:1.5pt" o:hralign="center" o:hrstd="t" o:hr="t"/>
        </w:pict>
      </w:r>
    </w:p>
    <w:p>
      <w:pPr>
        <w:pStyle w:val="FirstParagraph"/>
      </w:pPr>
      <w:r>
        <w:rPr>
          <w:iCs/>
          <w:i/>
        </w:rPr>
        <w:t xml:space="preserve">Este documento es un análisis de mercado y planificación de producto con fines informativos generales; no constituye asesoría legal, fiscal ni de inversión. Las referencias a normas mexicanas (LFPDPPP 2025, NOM-151, Ley Reglamentaria del artículo 5° constitucional, códigos de ética) deben verificarse con asesoría jurídica especializada antes de cualquier decisión de lanzamiento.</w:t>
      </w:r>
    </w:p>
    <w:p>
      <w:r>
        <w:pict>
          <v:rect style="width:0;height:1.5pt" o:hralign="center" o:hrstd="t" o:hr="t"/>
        </w:pic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GDPRInfo. https://gdprinfo.eu/best-ai-legal-assistants-for-deep-case-law-research</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LegalToday. https://www.legaltoday.com/legaltech/novedades-legaltech/marketplace-juridicos-una-solucion-legaltech-para-la-captacion-de-clientes-2022-08-26/</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 Regional (jul 2026). https://aregional.com/empresa/el-fenomeno-oxxo-como-femsa-transforma-sus-tiendas-en-los-nuevos-bancos-de-mexico/</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Leaders League. https://www.leadersleague.com/es/rankings?country=mexico&amp;page=1</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arXiv 2403.03883 (2024). https://arxiv.org/html/2403.03883v1</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Expansión (jul 2025). https://expansion.mx/carrera/2025/07/11/cuando-es-dia-del-abogado-mexico-2025</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ModelScope. https://modelscope.cn/models/deepseek-ai/DeepSeek-R1-Distill-Qwen-14B</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SQ Magazine (2026). https://sqmagazine.co.uk/llm-hallucination-statistics/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Merca2.0 (feb 2026). https://www.merca20.com/oxxo-abrio-1125-tiendas-en-2025-para-sumar-un-total-de-25587-sucursales/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Opportimes. https://www.opportimes.com/empresas/crecimiento-de-las-tiendas-oxxo-se-duplican-en-10-anos/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Conekta. https://www.conekta.com/payments/cash</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World Justice Project México. https://worldjusticeproject.mx/en/acceso-a-la-justicia-problemas/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Data México / Secretaría de Economía. https://www.economia.gob.mx/datamexico/es/profile/occupation/abogados?typeJob1=informalOption</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LemonTech (jul 2026). https://blog.lemontech.com/lemontech/inteligencia-artificial-para-abogados-lemontech</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Entropi AI (abr 2026). https://entropi.ai/blog/self-hosted-llm-law-firm-deployment-reality</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SiliconFlow. https://www.siliconflow.com/articles/en/best-open-source-llm-for-spanish</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VRLA Tech (abr 2026). https://vrlatech.com/nvidia-dgx-spark-vs-rtx-pro-6000-blackwell-which-is-right-for-your-workload/</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Cámara de Diputados (LeyesBiblio). https://www.diputados.gob.mx/LeyesBiblio/index.htm</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SEGOB. http://www.ordenjuridico.gob.mx/Publicaciones/Ponencia_DR.pdf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Toppe Consulting. https://toppeconsulting.com/cocounsel-vs-harvey-ai-vs-lexis-which-legal-ai-tool-delivers-the-best-roi-in-2025/</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OWL ESQ. https://owlesq.com/buyer-guides/best-ai-legal-research-tools-2026</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Vega Guerrero (abr 2025). https://vegaguerrero.com/m-n-a/reformas-a-en-materia-de-transparencia-acceso-a-la-informacion-y-proteccion-de-datos-personales-en-mexico/</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ComputerWeekly México (17 jun 2026). https://www.computerweekly.com/es/cronica/Thomson-Reuters-presento-su-IA-juridica-en-Mexico</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Lexfania. https://lexfania.ai/blog/guia-2025-las-mejores-herramientas-legaltech-para-abogados-en-mexico/</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AIJusticia. https://aij.mx/articulos/software-legal-mexico-guia-despachos</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Negocios.com (jul 2026). https://www.negocios.com/articulo/empresas/alex-alcanza-millon-usuarios-transforma-acceso-legal/20260707103554489850.html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Conekta. https://www.conekta.com/pricing</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DataPro. https://dataprocorp.tech/building-a-private-llm-for-law-offices/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Productivity Link AI. https://productivitylinkai.com/top-ai-legal-assistants-cocounsel-harvey-lexis-plus-comparison/</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Darrow. https://www.darrow.ai/resources/legal-tech-startups</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Pocono AI. https://poconoai.com/for-attorneys.html</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Profi.mx (2026). https://profi.mx/abogados/en-mexico-en-linea-gratis/</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INEGI. https://www.inegi.org.mx/contenidos/saladeprensa/boletines/2025/enif/ENIF2024_RR.pdf</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FutureAGI. https://futureagi.com/blog/taming-hallucination-beast-strategies-reliable-llms/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El Financiero (mar 2025). https://www.elfinanciero.com.mx/opinion/victor-piz/2025/03/14/mejoras-en-la-conducta-financiera-de-mexicanos/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Yahoo Finanzas (feb 2026). https://es-us.noticias.yahoo.com/femsa-planea-oxxo-crezca-tercio-120325448.html</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NYU CIC / WJP. https://cic.nyu.edu/wp-content/uploads/2023/11/Report-on-Access-to-Justice-in-Ibero-America-2023-ES.pdf</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Xeva. https://xeva.com.mx/las-destacadas/210637/cuanto-cuesta-contratar-a-un-abogado-en-mexico</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Wauman Abogados Corporativos. https://www.wauman-abogados-corporativos.com.mx/cu%C3%A1nto-cuesta-un-asesor-legal/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DataIntelo. https://dataintelo.com/report/online-legal-aid-services-market</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OEA. http://www.oas.org/juridico/spanish/mesicic3_mex_ley_regl_art_5.pdf</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SciELO (2021). http://www.scielo.org.mx/scielo.php?script=sci_arttext&amp;pid=S0041-86332021000100003</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Barra Mexicana, Colegio de Abogados (2017). https://www.bma.org.mx/wp-content/uploads/2024/05/Codigo-de-Etica-XII-2016-.pdf</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UNAM. https://archivos.juridicas.unam.mx/www/bjv/libros/10/4739/7.pdf</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Mercado Pago Developers. https://www.mercadopago.com.ar/developers/es/docs/split-payments/split-1-1/overview</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Greenberg Traurig (mar 2025). https://www.gtlaw.com/es/insights/2025/3/nueva-ley-general-proteccion-de-datos</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SNS Insider. https://www.snsinsider.com/reports/legal-ai-market-6862</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Justia (abr 2025). https://www.justia.com/trials-litigation/ai-and-attorney-ethics-rules-50-state-survey/</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AbogadoMex. https://www.abogadomex.mx/en/blog/legaltech-in-mexico-2025-the-future-of-digital-law</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IBA (2024). https://www.ibanet.org/document?id=IBA-Gender-Report-Mexico-2024-ES</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Toppe Consulting. https://toppeconsulting.com/cocounsel-vs-harvey-ai-vs-lexis-which-legal-ai-tool-delivers-the-best-roi-in-2025/</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Jaak. https://www.jaak.ai/blog/que-es-nom-151-contratos-digitales</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Almstra. https://almstra.com/servicios/nom-151</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Parseur. https://parseur.com/es/solucion/automatizacion-legal</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AIJusticia. https://aij.mx/articulos/lfpdppp-ia-despachos-secreto-profesional</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LexEdge. https://www.lexedge.ai/legal-ai-platforms-comparative-evaluation/</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Guía Legaltech, Derecho Práctico (2026). https://derechopractico.es/guialegaltech/categoria/marketplaces-juridicos/</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Law.co. https://law.co/private-hybrid-ai-deployment</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daily.dev. https://daily.dev/blog/best-local-llm-models-run/</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DataVLab. https://datavlab.ai/post/best-open-source-llm-2026-decision-framework-european-teams</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Thunder Compute. https://www.thundercompute.com/blog/nvidia-rtx-pro-6000-pricing</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Universidad Panamericana. https://blog.up.edu.mx/posgrados-de-gobierno-y-economia/implicaciones-de-nueva-ley-de-transparencia-2025</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DataVLab (jul 2026). https://datavlab.ai/es/post/como-entrenar-modelos-de-ocr-en-contratos-y-documentos-judiciales-escaneados-para-la-ia-legal</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Dijit.app. https://www.dijit.app/extraccion-de-datos-con-ia-y-ocr/</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Zep. https://www.getzep.com/ai-agents/reducing-llm-hallucinations/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Medium. https://medium.com/data-science-in-your-pocket/deepseek-r1-distill-qwen-1-5b-the-best-small-sized-llm-14eee304d94b</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Interesting Engineering (mar 2026). https://interestingengineering.substack.com/p/the-intelligence-shortcut-how-smaller</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RunPod. https://www.runpod.io/blog/rag-vs-fine-tuning-llm-customization</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You.com. https://you.com/resources/ai-hallucination-prevention-guide</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arXiv 2505.10792. https://arxiv.org/pdf/2505.10792</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Medium. https://medium.com/@SangeethaJannapu/rag-but-make-it-reliable-verification-loops-that-actually-help-66fb279ec722</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AILawyer.pro (jun 2026). https://ailawyer.pro/blog/rocket-lawyer-vs-legalzoom</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Foro Jurídico. https://forojuridico.mx/legaltech-2026-el-ano-que-redefine-la-industria-juridica-en-latam/</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arXiv 2502.11164. https://arxiv.org/html/2502.11164v1</w:t>
      </w:r>
      <w:bookmarkEnd w:id="10074"/>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8" Target="media/rId28.png"/><Relationship Type="http://schemas.openxmlformats.org/officeDocument/2006/relationships/image" Id="rId23" Target="media/rId23.png"/><Relationship Type="http://schemas.openxmlformats.org/officeDocument/2006/relationships/image" Id="rId36" Target="media/rId36.png"/><Relationship Type="http://schemas.openxmlformats.org/officeDocument/2006/relationships/image" Id="rId53" Target="media/rId53.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2026-07-26T00:08:51Z</dcterms:created>
  <dcterms:modified xsi:type="dcterms:W3CDTF">2026-07-26T00:08:51Z</dcterms:modified>
</cp:coreProperties>
</file>

<file path=docProps/custom.xml><?xml version="1.0" encoding="utf-8"?>
<Properties xmlns="http://schemas.openxmlformats.org/officeDocument/2006/custom-properties" xmlns:vt="http://schemas.openxmlformats.org/officeDocument/2006/docPropsVTypes"/>
</file>