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 Stylish Article</w:t>
      </w:r>
    </w:p>
    <w:p>
      <w:pPr>
        <w:pStyle w:val="Author"/>
      </w:pPr>
      <w:r>
        <w:t xml:space="preserve">Félix Romiguière</w:t>
      </w:r>
    </w:p>
    <w:p>
      <w:pPr>
        <w:pStyle w:val="AbstractTitle"/>
      </w:pPr>
      <w:r>
        <w:t xml:space="preserve">Résumé</w:t>
      </w:r>
    </w:p>
    <w:p>
      <w:pPr>
        <w:pStyle w:val="Abstract"/>
      </w:pPr>
      <w:r>
        <w:t xml:space="preserve">This document is only a demo explaining how to use the Stylish Article template.</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"1-3" \h \z \u</w:instrText>
            <w:fldChar w:fldCharType="separate"/>
            <w:fldChar w:fldCharType="end"/>
          </w:r>
        </w:p>
      </w:sdtContent>
    </w:sdt>
    <w:bookmarkStart w:id="9" w:name="introduction"/>
    <w:p>
      <w:pPr>
        <w:pStyle w:val="Heading1"/>
      </w:pPr>
      <w:r>
        <w:t xml:space="preserve">Introduction</w:t>
      </w:r>
    </w:p>
    <w:p>
      <w:pPr>
        <w:pStyle w:val="FirstParagraph"/>
      </w:pPr>
      <w:r>
        <w:t xml:space="preserve">La question de la diversité des forêts tropicales fascine les écologues parce qu’elle a des enjeux très importants</w:t>
      </w:r>
      <w:r>
        <w:t xml:space="preserve"> </w:t>
      </w:r>
      <w:r>
        <w:t xml:space="preserve">(</w:t>
      </w:r>
      <w:r>
        <w:t xml:space="preserve">Gibson et al.</w:t>
      </w:r>
      <w:r>
        <w:t xml:space="preserve"> </w:t>
      </w:r>
      <w:r>
        <w:t xml:space="preserve">2011)</w:t>
      </w:r>
      <w:r>
        <w:t xml:space="preserve">.</w:t>
      </w:r>
      <w:r>
        <w:t xml:space="preserve"> </w:t>
      </w:r>
      <w:r>
        <w:t xml:space="preserve">est qu’elle est difficile à comprendre</w:t>
      </w:r>
      <w:r>
        <w:t xml:space="preserve"> </w:t>
      </w:r>
      <w:r>
        <w:t xml:space="preserve">(Wright 2002)</w:t>
      </w:r>
      <w:r>
        <w:t xml:space="preserve">.</w:t>
      </w:r>
    </w:p>
    <w:p>
      <w:pPr>
        <w:pStyle w:val="BodyText"/>
      </w:pPr>
      <w:r>
        <w:t xml:space="preserve">A l’heure des menaces sur la biodiversité</w:t>
      </w:r>
      <w:r>
        <w:t xml:space="preserve"> </w:t>
      </w:r>
      <w:r>
        <w:t xml:space="preserve">(</w:t>
      </w:r>
      <w:r>
        <w:t xml:space="preserve">Fadrique et al.</w:t>
      </w:r>
      <w:r>
        <w:t xml:space="preserve"> </w:t>
      </w:r>
      <w:r>
        <w:t xml:space="preserve">2026)</w:t>
      </w:r>
      <w:r>
        <w:t xml:space="preserve">, une connaissance plus détaillée de la diversité des forêts très étudiées est utile.</w:t>
      </w:r>
    </w:p>
    <w:p>
      <w:pPr>
        <w:pStyle w:val="BodyText"/>
      </w:pPr>
      <w:r>
        <w:t xml:space="preserve">Des modèles ont été publiés</w:t>
      </w:r>
      <w:r>
        <w:t xml:space="preserve"> </w:t>
      </w:r>
      <w:r>
        <w:t xml:space="preserve">(</w:t>
      </w:r>
      <w:r>
        <w:t xml:space="preserve">Liang et al.</w:t>
      </w:r>
      <w:r>
        <w:t xml:space="preserve"> </w:t>
      </w:r>
      <w:r>
        <w:t xml:space="preserve">2022)</w:t>
      </w:r>
      <w:r>
        <w:t xml:space="preserve">.</w:t>
      </w:r>
    </w:p>
    <w:p>
      <w:pPr>
        <w:pStyle w:val="BodyText"/>
      </w:pPr>
      <w:r>
        <w:t xml:space="preserve">Comparer la diversité de Paracou</w:t>
      </w:r>
      <w:r>
        <w:t xml:space="preserve"> </w:t>
      </w:r>
      <w:r>
        <w:t xml:space="preserve">(Gourlet-Fleury et al. 2004)</w:t>
      </w:r>
      <w:r>
        <w:t xml:space="preserve"> </w:t>
      </w:r>
      <w:r>
        <w:t xml:space="preserve">et de BCI</w:t>
      </w:r>
      <w:r>
        <w:t xml:space="preserve"> </w:t>
      </w:r>
      <w:r>
        <w:t xml:space="preserve">(Raby 2017)</w:t>
      </w:r>
      <w:r>
        <w:t xml:space="preserve">.</w:t>
      </w:r>
    </w:p>
    <w:bookmarkEnd w:id="9"/>
    <w:bookmarkStart w:id="22" w:name="matériels-et-méthodes"/>
    <w:p>
      <w:pPr>
        <w:pStyle w:val="Heading1"/>
      </w:pPr>
      <w:r>
        <w:t xml:space="preserve">Matériels et Méthodes</w:t>
      </w:r>
    </w:p>
    <w:p>
      <w:pPr>
        <w:pStyle w:val="FirstParagraph"/>
      </w:pPr>
      <w:r>
        <w:t xml:space="preserve">Nombre de Hill</w:t>
      </w:r>
      <w:r>
        <w:t xml:space="preserve"> </w:t>
      </w:r>
      <w:r>
        <w:t xml:space="preserve">(Hill 1973)</w:t>
      </w:r>
    </w:p>
    <w:p>
      <w:pPr>
        <w:pStyle w:val="Compact"/>
        <w:numPr>
          <w:ilvl w:val="0"/>
          <w:numId w:val="1001"/>
        </w:numPr>
      </w:pPr>
      <w:r>
        <w:t xml:space="preserve">Site de Paracou Comparer la diversité de Paracou</w:t>
      </w:r>
      <w:r>
        <w:t xml:space="preserve"> </w:t>
      </w:r>
      <w:r>
        <w:t xml:space="preserve">(Gourlet-Fleury et al. 2004)</w:t>
      </w:r>
      <w:r>
        <w:t xml:space="preserve"> </w:t>
      </w:r>
      <w:r>
        <w:t xml:space="preserve">et de BCI</w:t>
      </w:r>
      <w:r>
        <w:t xml:space="preserve"> </w:t>
      </w:r>
      <w:r>
        <w:t xml:space="preserve">(Raby 2017)</w:t>
      </w:r>
      <w:r>
        <w:t xml:space="preserve">.</w:t>
      </w:r>
    </w:p>
    <w:p>
      <w:pPr>
        <w:pStyle w:val="Compact"/>
        <w:numPr>
          <w:ilvl w:val="0"/>
          <w:numId w:val="1001"/>
        </w:numPr>
      </w:pPr>
      <w:r>
        <w:t xml:space="preserve">Site de BCI</w:t>
      </w:r>
    </w:p>
    <w:p>
      <w:pPr>
        <w:pStyle w:val="Compact"/>
        <w:numPr>
          <w:ilvl w:val="0"/>
          <w:numId w:val="1001"/>
        </w:numPr>
      </w:pPr>
      <w:r>
        <w:t xml:space="preserve">Les analyses sont réalisées avec R</w:t>
      </w:r>
      <w:r>
        <w:t xml:space="preserve"> </w:t>
      </w:r>
      <w:r>
        <w:t xml:space="preserve">(R Core Team 2026)</w:t>
      </w:r>
      <w:r>
        <w:t xml:space="preserve"> </w:t>
      </w:r>
      <w:r>
        <w:t xml:space="preserve">et le package divent</w:t>
      </w:r>
      <w:r>
        <w:t xml:space="preserve"> </w:t>
      </w:r>
      <w:r>
        <w:t xml:space="preserve">(Marcon et Puech under review)</w:t>
      </w:r>
      <w:r>
        <w:t xml:space="preserve">.</w:t>
      </w:r>
    </w:p>
    <w:p>
      <w:pPr>
        <w:pStyle w:val="Compact"/>
        <w:numPr>
          <w:ilvl w:val="0"/>
          <w:numId w:val="1002"/>
        </w:numPr>
      </w:pPr>
      <w:r>
        <w:t xml:space="preserve">Site Selection</w:t>
      </w:r>
    </w:p>
    <w:p>
      <w:pPr>
        <w:pStyle w:val="FirstParagraph"/>
      </w:pPr>
      <w:r>
        <w:t xml:space="preserve">The sites and data used in this study comes from the work of Emma Pilleboue, who installed temporary acoustic recording unit (ARU) throughout her internship.</w:t>
      </w:r>
      <w:r>
        <w:t xml:space="preserve"> </w:t>
      </w:r>
      <w:r>
        <w:t xml:space="preserve">After installation, the ARU recorded continuously during a period of several days varying between one full day and five full days, between the 15/02/2024 and 02/05/2024.</w:t>
      </w:r>
    </w:p>
    <w:p>
      <w:pPr>
        <w:pStyle w:val="BodyText"/>
      </w:pPr>
      <w:r>
        <w:t xml:space="preserve">In totals, 51 sites of Emma’s work are used for this study.</w:t>
      </w:r>
      <w:r>
        <w:t xml:space="preserve"> </w:t>
      </w:r>
      <w:r>
        <w:t xml:space="preserve">The ARU were located at a minimal distance of approximately 200 meters and were in place following altitudinal or urban gradients in some cases.</w:t>
      </w:r>
      <w:r>
        <w:t xml:space="preserve"> </w:t>
      </w:r>
      <w:r>
        <w:t xml:space="preserve">They were also classified into four main habitat type : Urban (4), Suburban (15), Rural (6), Forest(26).</w:t>
      </w:r>
      <w:r>
        <w:t xml:space="preserve"> </w:t>
      </w:r>
      <w:r>
        <w:t xml:space="preserve">The habitats site are mostly forested landscapes or suburban areas, Urban and rural areas are less represented in the site selection.</w:t>
      </w:r>
    </w:p>
    <w:tbl>
      <w:tblPr>
        <w:tblStyle w:val="Table"/>
        <w:tblW w:type="pct" w:w="5000"/>
        <w:tblLayout w:type="fixed"/>
        <w:tblLook w:firstRow="0" w:lastRow="0" w:firstColumn="0" w:lastColumn="0" w:noHBand="0" w:noVBand="0" w:val="0000"/>
      </w:tblPr>
      <w:tblGrid>
        <w:gridCol w:w="7920"/>
      </w:tblGrid>
      <w:tr>
        <w:tc>
          <w:tcPr/>
          <w:bookmarkStart w:id="13" w:name="fig-gradient"/>
          <w:p>
            <w:pPr>
              <w:jc w:val="center"/>
            </w:pPr>
            <w:r>
              <w:drawing>
                <wp:inline>
                  <wp:extent cx="4620126" cy="3696101"/>
                  <wp:effectExtent b="0" l="0" r="0" t="0"/>
                  <wp:docPr descr="" title="" id="11" name="Picture"/>
                  <a:graphic>
                    <a:graphicData uri="http://schemas.openxmlformats.org/drawingml/2006/picture">
                      <pic:pic>
                        <pic:nvPicPr>
                          <pic:cNvPr descr="index_files/figure-docx/unnamed-chunk-1-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Gradient d’HardSurfaceArea (%) et d’Altitude (m) en fonction des sites étudiés</w:t>
            </w:r>
          </w:p>
          <w:bookmarkEnd w:id="13"/>
        </w:tc>
      </w:tr>
    </w:tbl>
    <w:p>
      <w:pPr>
        <w:pStyle w:val="BodyText"/>
      </w:pPr>
      <w:r>
        <w:t xml:space="preserve">Acoustic indices selection for better description and tests, use the website to have basic indices described</w:t>
      </w:r>
      <w:r>
        <w:t xml:space="preserve"> </w:t>
      </w:r>
      <w:hyperlink r:id="rId14">
        <w:r>
          <w:rPr>
            <w:rStyle w:val="Hyperlink"/>
          </w:rPr>
          <w:t xml:space="preserve">here</w:t>
        </w:r>
      </w:hyperlink>
      <w:r>
        <w:t xml:space="preserve"> </w:t>
      </w:r>
      <w:r>
        <w:t xml:space="preserve">(Bradfer-Lawrence et al. 2025)</w:t>
      </w:r>
    </w:p>
    <w:p>
      <w:pPr>
        <w:pStyle w:val="BodyText"/>
      </w:pPr>
      <w:r>
        <w:drawing>
          <wp:inline>
            <wp:extent cx="5334000" cy="6546272"/>
            <wp:effectExtent b="0" l="0" r="0" t="0"/>
            <wp:docPr descr="" title="" id="16" name="Picture"/>
            <a:graphic>
              <a:graphicData uri="http://schemas.openxmlformats.org/drawingml/2006/picture">
                <pic:pic>
                  <pic:nvPicPr>
                    <pic:cNvPr descr="images/Capture%20d'écran%202026-08-18%20161213.png" id="17" name="Picture"/>
                    <pic:cNvPicPr>
                      <a:picLocks noChangeArrowheads="1" noChangeAspect="1"/>
                    </pic:cNvPicPr>
                  </pic:nvPicPr>
                  <pic:blipFill>
                    <a:blip r:embed="rId15"/>
                    <a:stretch>
                      <a:fillRect/>
                    </a:stretch>
                  </pic:blipFill>
                  <pic:spPr bwMode="auto">
                    <a:xfrm>
                      <a:off x="0" y="0"/>
                      <a:ext cx="5334000" cy="6546272"/>
                    </a:xfrm>
                    <a:prstGeom prst="rect">
                      <a:avLst/>
                    </a:prstGeom>
                    <a:noFill/>
                    <a:ln w="9525">
                      <a:noFill/>
                      <a:headEnd/>
                      <a:tailEnd/>
                    </a:ln>
                  </pic:spPr>
                </pic:pic>
              </a:graphicData>
            </a:graphic>
          </wp:inline>
        </w:drawing>
      </w:r>
    </w:p>
    <w:p>
      <w:pPr>
        <w:pStyle w:val="BodyText"/>
      </w:pPr>
      <w:r>
        <w:t xml:space="preserve">Pattern expectation of selected indices</w:t>
      </w:r>
      <w:r>
        <w:t xml:space="preserve"> </w:t>
      </w:r>
      <w:r>
        <w:t xml:space="preserve">(Sánchez-Giraldo et al. 2021)</w:t>
      </w:r>
    </w:p>
    <w:p>
      <w:pPr>
        <w:pStyle w:val="Compact"/>
        <w:numPr>
          <w:ilvl w:val="0"/>
          <w:numId w:val="1003"/>
        </w:numPr>
      </w:pPr>
      <w:r>
        <w:t xml:space="preserve">Analysis framework intended</w:t>
      </w:r>
    </w:p>
    <w:tbl>
      <w:tblPr>
        <w:tblStyle w:val="Table"/>
        <w:tblW w:type="pct" w:w="5000"/>
        <w:tblLayout w:type="fixed"/>
        <w:tblLook w:firstRow="0" w:lastRow="0" w:firstColumn="0" w:lastColumn="0" w:noHBand="0" w:noVBand="0" w:val="0000"/>
      </w:tblPr>
      <w:tblGrid>
        <w:gridCol w:w="7920"/>
      </w:tblGrid>
      <w:tr>
        <w:tc>
          <w:tcPr/>
          <w:bookmarkStart w:id="21" w:name="fig-framework"/>
          <w:p>
            <w:pPr>
              <w:jc w:val="center"/>
            </w:pPr>
            <w:r>
              <w:drawing>
                <wp:inline>
                  <wp:extent cx="5139890" cy="5399772"/>
                  <wp:effectExtent b="0" l="0" r="0" t="0"/>
                  <wp:docPr descr="" title="" id="19" name="Picture"/>
                  <a:graphic>
                    <a:graphicData uri="http://schemas.openxmlformats.org/drawingml/2006/picture">
                      <pic:pic>
                        <pic:nvPicPr>
                          <pic:cNvPr descr="images/framework.png" id="20" name="Picture"/>
                          <pic:cNvPicPr>
                            <a:picLocks noChangeArrowheads="1" noChangeAspect="1"/>
                          </pic:cNvPicPr>
                        </pic:nvPicPr>
                        <pic:blipFill>
                          <a:blip r:embed="rId18"/>
                          <a:stretch>
                            <a:fillRect/>
                          </a:stretch>
                        </pic:blipFill>
                        <pic:spPr bwMode="auto">
                          <a:xfrm>
                            <a:off x="0" y="0"/>
                            <a:ext cx="5139890" cy="539977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Schéma d’analyse visé</w:t>
            </w:r>
          </w:p>
          <w:bookmarkEnd w:id="21"/>
        </w:tc>
      </w:tr>
    </w:tbl>
    <w:bookmarkEnd w:id="22"/>
    <w:bookmarkStart w:id="27" w:name="résultats"/>
    <w:p>
      <w:pPr>
        <w:pStyle w:val="Heading1"/>
      </w:pPr>
      <w:r>
        <w:t xml:space="preserve">Résultats</w:t>
      </w:r>
    </w:p>
    <w:tbl>
      <w:tblPr>
        <w:tblStyle w:val="Table"/>
        <w:tblW w:type="pct" w:w="5000"/>
        <w:tblLayout w:type="fixed"/>
        <w:tblLook w:firstRow="0" w:lastRow="0" w:firstColumn="0" w:lastColumn="0" w:noHBand="0" w:noVBand="0" w:val="0000"/>
      </w:tblPr>
      <w:tblGrid>
        <w:gridCol w:w="7920"/>
      </w:tblGrid>
      <w:tr>
        <w:tc>
          <w:tcPr/>
          <w:bookmarkStart w:id="26" w:name="fig-compa"/>
          <w:p>
            <w:pPr>
              <w:jc w:val="center"/>
            </w:pPr>
            <w:r>
              <w:drawing>
                <wp:inline>
                  <wp:extent cx="2667000" cy="2133600"/>
                  <wp:effectExtent b="0" l="0" r="0" t="0"/>
                  <wp:docPr descr="" title="" id="24" name="Picture"/>
                  <a:graphic>
                    <a:graphicData uri="http://schemas.openxmlformats.org/drawingml/2006/picture">
                      <pic:pic>
                        <pic:nvPicPr>
                          <pic:cNvPr descr="index_files/figure-docx/compa-1.png" id="25" name="Picture"/>
                          <pic:cNvPicPr>
                            <a:picLocks noChangeArrowheads="1" noChangeAspect="1"/>
                          </pic:cNvPicPr>
                        </pic:nvPicPr>
                        <pic:blipFill>
                          <a:blip r:embed="rId23"/>
                          <a:stretch>
                            <a:fillRect/>
                          </a:stretch>
                        </pic:blipFill>
                        <pic:spPr bwMode="auto">
                          <a:xfrm>
                            <a:off x="0" y="0"/>
                            <a:ext cx="2667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Différence de valeurs de diversité en fonction de son ordre entre les sites de Paracou et BCI</w:t>
            </w:r>
          </w:p>
          <w:bookmarkEnd w:id="26"/>
        </w:tc>
      </w:tr>
    </w:tbl>
    <w:bookmarkEnd w:id="27"/>
    <w:bookmarkStart w:id="28" w:name="discussion"/>
    <w:p>
      <w:pPr>
        <w:pStyle w:val="Heading1"/>
      </w:pPr>
      <w:r>
        <w:t xml:space="preserve">Discussion</w:t>
      </w:r>
    </w:p>
    <w:p>
      <w:pPr>
        <w:pStyle w:val="FirstParagraph"/>
      </w:pPr>
      <w:r>
        <w:t xml:space="preserve">MacArthur et Wilson (1967)</w:t>
      </w:r>
      <w:r>
        <w:t xml:space="preserve"> </w:t>
      </w:r>
      <w:r>
        <w:t xml:space="preserve">montrent mathématiquement que la richesse spécifique (le nombre d’espèces) d’une île est un équilibre dynamique entre le taux d’immigration et le taux d’extinction, ce dernier étant directement dicté par la taille de l’île.</w:t>
      </w:r>
    </w:p>
    <w:p>
      <w:pPr>
        <w:pStyle w:val="BodyText"/>
      </w:pPr>
      <w:r>
        <w:t xml:space="preserve">BCI est une forêt secondarisée</w:t>
      </w:r>
      <w:r>
        <w:t xml:space="preserve"> </w:t>
      </w:r>
      <w:r>
        <w:t xml:space="preserve">(Raby 2017)</w:t>
      </w:r>
      <w:r>
        <w:t xml:space="preserve">.</w:t>
      </w:r>
      <w:r>
        <w:t xml:space="preserve"> </w:t>
      </w:r>
      <w:r>
        <w:t xml:space="preserve">Sa diversité pourrait être augmentée selon la théorie de la perturbation intermédiaire</w:t>
      </w:r>
      <w:r>
        <w:t xml:space="preserve"> </w:t>
      </w:r>
      <w:r>
        <w:t xml:space="preserve">(Connell 1978)</w:t>
      </w:r>
      <w:r>
        <w:t xml:space="preserve">.</w:t>
      </w:r>
    </w:p>
    <w:p>
      <w:pPr>
        <w:pStyle w:val="BodyText"/>
      </w:pPr>
      <w:r>
        <w:t xml:space="preserve">Bonus sur la thématique Tahiti_Soundscape</w:t>
      </w:r>
    </w:p>
    <w:bookmarkEnd w:id="28"/>
    <w:bookmarkStart w:id="52" w:name="bibliography"/>
    <w:p>
      <w:pPr>
        <w:pStyle w:val="Heading1"/>
      </w:pPr>
      <w:r>
        <w:t xml:space="preserve">References</w:t>
      </w:r>
    </w:p>
    <w:bookmarkStart w:id="51" w:name="refs"/>
    <w:bookmarkStart w:id="30" w:name="ref-bradfer-lawrence2025"/>
    <w:p>
      <w:pPr>
        <w:pStyle w:val="Bibliography"/>
      </w:pPr>
      <w:r>
        <w:t xml:space="preserve">Bradfer-Lawrence, Tom, Brad Duthie, Carlos Abrahams, et al. 2025.</w:t>
      </w:r>
      <w:r>
        <w:t xml:space="preserve"> </w:t>
      </w:r>
      <w:r>
        <w:t xml:space="preserve">« The Acoustic Index User’s Guide: A Practical Manual for Defining, Generating and Understanding Current and Future Acoustic Indices »</w:t>
      </w:r>
      <w:r>
        <w:t xml:space="preserve">.</w:t>
      </w:r>
      <w:r>
        <w:t xml:space="preserve"> </w:t>
      </w:r>
      <w:r>
        <w:rPr>
          <w:i/>
          <w:iCs/>
        </w:rPr>
        <w:t xml:space="preserve">Methods in Ecology and Evolution</w:t>
      </w:r>
      <w:r>
        <w:t xml:space="preserve"> </w:t>
      </w:r>
      <w:r>
        <w:t xml:space="preserve">16 (6): 1040‑50.</w:t>
      </w:r>
      <w:r>
        <w:t xml:space="preserve"> </w:t>
      </w:r>
      <w:hyperlink r:id="rId29">
        <w:r>
          <w:rPr>
            <w:rStyle w:val="Hyperlink"/>
          </w:rPr>
          <w:t xml:space="preserve">https://doi.org/10.1111/2041-210X.14357</w:t>
        </w:r>
      </w:hyperlink>
      <w:r>
        <w:t xml:space="preserve">.</w:t>
      </w:r>
    </w:p>
    <w:bookmarkEnd w:id="30"/>
    <w:bookmarkStart w:id="32" w:name="ref-Connell1978"/>
    <w:p>
      <w:pPr>
        <w:pStyle w:val="Bibliography"/>
      </w:pPr>
      <w:r>
        <w:t xml:space="preserve">Connell, Joseph H. 1978.</w:t>
      </w:r>
      <w:r>
        <w:t xml:space="preserve"> </w:t>
      </w:r>
      <w:r>
        <w:t xml:space="preserve">« Diversity in tropical rain forests and coral reefs »</w:t>
      </w:r>
      <w:r>
        <w:t xml:space="preserve">.</w:t>
      </w:r>
      <w:r>
        <w:t xml:space="preserve"> </w:t>
      </w:r>
      <w:r>
        <w:rPr>
          <w:i/>
          <w:iCs/>
        </w:rPr>
        <w:t xml:space="preserve">Science</w:t>
      </w:r>
      <w:r>
        <w:t xml:space="preserve"> </w:t>
      </w:r>
      <w:r>
        <w:t xml:space="preserve">199 (4335): 1302‑10.</w:t>
      </w:r>
      <w:r>
        <w:t xml:space="preserve"> </w:t>
      </w:r>
      <w:hyperlink r:id="rId31">
        <w:r>
          <w:rPr>
            <w:rStyle w:val="Hyperlink"/>
          </w:rPr>
          <w:t xml:space="preserve">https://doi.org/10.1126/science.199.4335.1302</w:t>
        </w:r>
      </w:hyperlink>
      <w:r>
        <w:t xml:space="preserve">.</w:t>
      </w:r>
    </w:p>
    <w:bookmarkEnd w:id="32"/>
    <w:bookmarkStart w:id="34" w:name="ref-Fadrique2026"/>
    <w:p>
      <w:pPr>
        <w:pStyle w:val="Bibliography"/>
      </w:pPr>
      <w:r>
        <w:t xml:space="preserve">Fadrique, B., F. Costa, F. Cuesta, et al.</w:t>
      </w:r>
      <w:r>
        <w:t xml:space="preserve"> 2026.</w:t>
      </w:r>
      <w:r>
        <w:t xml:space="preserve"> </w:t>
      </w:r>
      <w:r>
        <w:t xml:space="preserve">« Tree diversity is changing across tropical Andean and Amazonian forests in response to global change »</w:t>
      </w:r>
      <w:r>
        <w:t xml:space="preserve">.</w:t>
      </w:r>
      <w:r>
        <w:t xml:space="preserve"> </w:t>
      </w:r>
      <w:r>
        <w:rPr>
          <w:i/>
          <w:iCs/>
        </w:rPr>
        <w:t xml:space="preserve">Nature Ecology &amp; Evolution</w:t>
      </w:r>
      <w:r>
        <w:t xml:space="preserve"> </w:t>
      </w:r>
      <w:r>
        <w:t xml:space="preserve">10 (2): 267‑80.</w:t>
      </w:r>
      <w:r>
        <w:t xml:space="preserve"> </w:t>
      </w:r>
      <w:hyperlink r:id="rId33">
        <w:r>
          <w:rPr>
            <w:rStyle w:val="Hyperlink"/>
          </w:rPr>
          <w:t xml:space="preserve">https://doi.org/10.1038/s41559-025-02956-5</w:t>
        </w:r>
      </w:hyperlink>
      <w:r>
        <w:t xml:space="preserve">.</w:t>
      </w:r>
    </w:p>
    <w:bookmarkEnd w:id="34"/>
    <w:bookmarkStart w:id="36" w:name="ref-Gibson2011"/>
    <w:p>
      <w:pPr>
        <w:pStyle w:val="Bibliography"/>
      </w:pPr>
      <w:r>
        <w:t xml:space="preserve">Gibson, Luke, Tien Ming Lee, Lian Pin Koh, et al.</w:t>
      </w:r>
      <w:r>
        <w:t xml:space="preserve"> 2011.</w:t>
      </w:r>
      <w:r>
        <w:t xml:space="preserve"> </w:t>
      </w:r>
      <w:r>
        <w:t xml:space="preserve">« Primary forests are irreplaceable for sustaining tropical biodiversity »</w:t>
      </w:r>
      <w:r>
        <w:t xml:space="preserve">.</w:t>
      </w:r>
      <w:r>
        <w:t xml:space="preserve"> </w:t>
      </w:r>
      <w:r>
        <w:rPr>
          <w:i/>
          <w:iCs/>
        </w:rPr>
        <w:t xml:space="preserve">Nature</w:t>
      </w:r>
      <w:r>
        <w:t xml:space="preserve"> </w:t>
      </w:r>
      <w:r>
        <w:t xml:space="preserve">478 (7369): 378‑81.</w:t>
      </w:r>
      <w:r>
        <w:t xml:space="preserve"> </w:t>
      </w:r>
      <w:hyperlink r:id="rId35">
        <w:r>
          <w:rPr>
            <w:rStyle w:val="Hyperlink"/>
          </w:rPr>
          <w:t xml:space="preserve">https://doi.org/10.1038/nature10425</w:t>
        </w:r>
      </w:hyperlink>
      <w:r>
        <w:t xml:space="preserve">.</w:t>
      </w:r>
    </w:p>
    <w:bookmarkEnd w:id="36"/>
    <w:bookmarkStart w:id="37" w:name="ref-Gourlet-Fleury2004"/>
    <w:p>
      <w:pPr>
        <w:pStyle w:val="Bibliography"/>
      </w:pPr>
      <w:r>
        <w:t xml:space="preserve">Gourlet-Fleury, Sylvie, Jean Marc Guehl, et Olivier Laroussinie. 2004.</w:t>
      </w:r>
      <w:r>
        <w:t xml:space="preserve"> </w:t>
      </w:r>
      <w:r>
        <w:rPr>
          <w:i/>
          <w:iCs/>
        </w:rPr>
        <w:t xml:space="preserve">Ecology &amp; management of a neotropical rainforest. Lessons drawn from Paracou, a long-term experimental research site in French Guiana</w:t>
      </w:r>
      <w:r>
        <w:t xml:space="preserve">. Elsevier.</w:t>
      </w:r>
    </w:p>
    <w:bookmarkEnd w:id="37"/>
    <w:bookmarkStart w:id="39" w:name="ref-hill1973"/>
    <w:p>
      <w:pPr>
        <w:pStyle w:val="Bibliography"/>
      </w:pPr>
      <w:r>
        <w:t xml:space="preserve">Hill, M. O. 1973.</w:t>
      </w:r>
      <w:r>
        <w:t xml:space="preserve"> </w:t>
      </w:r>
      <w:r>
        <w:t xml:space="preserve">« Diversity and Evenness: A Unifying Notation and Its Consequences »</w:t>
      </w:r>
      <w:r>
        <w:t xml:space="preserve">.</w:t>
      </w:r>
      <w:r>
        <w:t xml:space="preserve"> </w:t>
      </w:r>
      <w:r>
        <w:rPr>
          <w:i/>
          <w:iCs/>
        </w:rPr>
        <w:t xml:space="preserve">Ecology</w:t>
      </w:r>
      <w:r>
        <w:t xml:space="preserve"> </w:t>
      </w:r>
      <w:r>
        <w:t xml:space="preserve">54 (2): 427‑32.</w:t>
      </w:r>
      <w:r>
        <w:t xml:space="preserve"> </w:t>
      </w:r>
      <w:hyperlink r:id="rId38">
        <w:r>
          <w:rPr>
            <w:rStyle w:val="Hyperlink"/>
          </w:rPr>
          <w:t xml:space="preserve">https://doi.org/10.2307/1934352</w:t>
        </w:r>
      </w:hyperlink>
      <w:r>
        <w:t xml:space="preserve">.</w:t>
      </w:r>
    </w:p>
    <w:bookmarkEnd w:id="39"/>
    <w:bookmarkStart w:id="41" w:name="ref-Liang2022"/>
    <w:p>
      <w:pPr>
        <w:pStyle w:val="Bibliography"/>
      </w:pPr>
      <w:r>
        <w:t xml:space="preserve">Liang, Jingjing, Javier G. P. Gamarra, Nicolas Picard, et al.</w:t>
      </w:r>
      <w:r>
        <w:t xml:space="preserve"> 2022.</w:t>
      </w:r>
      <w:r>
        <w:t xml:space="preserve"> </w:t>
      </w:r>
      <w:r>
        <w:t xml:space="preserve">« Co-limitation towards lower latitudes shapes global forest diversity gradients »</w:t>
      </w:r>
      <w:r>
        <w:t xml:space="preserve">.</w:t>
      </w:r>
      <w:r>
        <w:t xml:space="preserve"> </w:t>
      </w:r>
      <w:r>
        <w:rPr>
          <w:i/>
          <w:iCs/>
        </w:rPr>
        <w:t xml:space="preserve">Nature Ecology &amp; Evolution</w:t>
      </w:r>
      <w:r>
        <w:t xml:space="preserve"> </w:t>
      </w:r>
      <w:r>
        <w:t xml:space="preserve">6 (août): 1423‑37.</w:t>
      </w:r>
      <w:r>
        <w:t xml:space="preserve"> </w:t>
      </w:r>
      <w:hyperlink r:id="rId40">
        <w:r>
          <w:rPr>
            <w:rStyle w:val="Hyperlink"/>
          </w:rPr>
          <w:t xml:space="preserve">https://doi.org/10.1038/s41559-022-01831-x</w:t>
        </w:r>
      </w:hyperlink>
      <w:r>
        <w:t xml:space="preserve">.</w:t>
      </w:r>
    </w:p>
    <w:bookmarkEnd w:id="41"/>
    <w:bookmarkStart w:id="42" w:name="ref-MacArthur1967"/>
    <w:p>
      <w:pPr>
        <w:pStyle w:val="Bibliography"/>
      </w:pPr>
      <w:r>
        <w:t xml:space="preserve">MacArthur, Robert H., et Edward O. Wilson. 1967.</w:t>
      </w:r>
      <w:r>
        <w:t xml:space="preserve"> </w:t>
      </w:r>
      <w:r>
        <w:rPr>
          <w:i/>
          <w:iCs/>
        </w:rPr>
        <w:t xml:space="preserve">The theory of island biogeography</w:t>
      </w:r>
      <w:r>
        <w:t xml:space="preserve">. Monographs in population biology. Princeton University Press.</w:t>
      </w:r>
    </w:p>
    <w:bookmarkEnd w:id="42"/>
    <w:bookmarkStart w:id="43" w:name="ref-Marcon2026a"/>
    <w:p>
      <w:pPr>
        <w:pStyle w:val="Bibliography"/>
      </w:pPr>
      <w:r>
        <w:t xml:space="preserve">Marcon, Eric, et Florence Puech. under review.</w:t>
      </w:r>
      <w:r>
        <w:t xml:space="preserve"> </w:t>
      </w:r>
      <w:r>
        <w:t xml:space="preserve">« divent: an</w:t>
      </w:r>
      <w:r>
        <w:t xml:space="preserve"> </w:t>
      </w:r>
      <w:r>
        <w:t xml:space="preserve">R</w:t>
      </w:r>
      <w:r>
        <w:t xml:space="preserve"> </w:t>
      </w:r>
      <w:r>
        <w:t xml:space="preserve">Package for Diversity Measures Based on Entropy »</w:t>
      </w:r>
      <w:r>
        <w:t xml:space="preserve">.</w:t>
      </w:r>
      <w:r>
        <w:t xml:space="preserve"> </w:t>
      </w:r>
      <w:r>
        <w:rPr>
          <w:i/>
          <w:iCs/>
        </w:rPr>
        <w:t xml:space="preserve">Journal of Open Source Software</w:t>
      </w:r>
      <w:r>
        <w:t xml:space="preserve">, under review.</w:t>
      </w:r>
    </w:p>
    <w:bookmarkEnd w:id="43"/>
    <w:bookmarkStart w:id="45" w:name="ref-R"/>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44">
        <w:r>
          <w:rPr>
            <w:rStyle w:val="Hyperlink"/>
          </w:rPr>
          <w:t xml:space="preserve">https://doi.org/10.32614/R.manuals</w:t>
        </w:r>
      </w:hyperlink>
      <w:r>
        <w:t xml:space="preserve">.</w:t>
      </w:r>
    </w:p>
    <w:bookmarkEnd w:id="45"/>
    <w:bookmarkStart w:id="46" w:name="ref-Raby2017"/>
    <w:p>
      <w:pPr>
        <w:pStyle w:val="Bibliography"/>
      </w:pPr>
      <w:r>
        <w:t xml:space="preserve">Raby, Megan. 2017.</w:t>
      </w:r>
      <w:r>
        <w:t xml:space="preserve"> </w:t>
      </w:r>
      <w:r>
        <w:rPr>
          <w:i/>
          <w:iCs/>
        </w:rPr>
        <w:t xml:space="preserve">American tropics: the Caribbean roots of biodiversity science</w:t>
      </w:r>
      <w:r>
        <w:t xml:space="preserve">. Flows, migrations, et exchanges. The University of North Carolina Press.</w:t>
      </w:r>
    </w:p>
    <w:bookmarkEnd w:id="46"/>
    <w:bookmarkStart w:id="48" w:name="ref-sánchez-giraldo2021"/>
    <w:p>
      <w:pPr>
        <w:pStyle w:val="Bibliography"/>
      </w:pPr>
      <w:r>
        <w:t xml:space="preserve">Sánchez-Giraldo, Camilo, Camilo Correa Ayram, et Juan M. Daza. 2021.</w:t>
      </w:r>
      <w:r>
        <w:t xml:space="preserve"> </w:t>
      </w:r>
      <w:r>
        <w:t xml:space="preserve">« Environmental sound as a mirror of landscape ecological integrity in monitoring programs »</w:t>
      </w:r>
      <w:r>
        <w:t xml:space="preserve">.</w:t>
      </w:r>
      <w:r>
        <w:t xml:space="preserve"> </w:t>
      </w:r>
      <w:r>
        <w:rPr>
          <w:i/>
          <w:iCs/>
        </w:rPr>
        <w:t xml:space="preserve">Perspectives in Ecology and Conservation</w:t>
      </w:r>
      <w:r>
        <w:t xml:space="preserve"> </w:t>
      </w:r>
      <w:r>
        <w:t xml:space="preserve">19 (3): 319‑28.</w:t>
      </w:r>
      <w:r>
        <w:t xml:space="preserve"> </w:t>
      </w:r>
      <w:hyperlink r:id="rId47">
        <w:r>
          <w:rPr>
            <w:rStyle w:val="Hyperlink"/>
          </w:rPr>
          <w:t xml:space="preserve">https://doi.org/10.1016/j.pecon.2021.04.003</w:t>
        </w:r>
      </w:hyperlink>
      <w:r>
        <w:t xml:space="preserve">.</w:t>
      </w:r>
    </w:p>
    <w:bookmarkEnd w:id="48"/>
    <w:bookmarkStart w:id="50" w:name="ref-Wright2002b"/>
    <w:p>
      <w:pPr>
        <w:pStyle w:val="Bibliography"/>
      </w:pPr>
      <w:r>
        <w:t xml:space="preserve">Wright, S. Joseph. 2002.</w:t>
      </w:r>
      <w:r>
        <w:t xml:space="preserve"> </w:t>
      </w:r>
      <w:r>
        <w:t xml:space="preserve">« Plant diversity in tropical forests: a review of mechanisms of species coexistence »</w:t>
      </w:r>
      <w:r>
        <w:t xml:space="preserve">.</w:t>
      </w:r>
      <w:r>
        <w:t xml:space="preserve"> </w:t>
      </w:r>
      <w:r>
        <w:rPr>
          <w:i/>
          <w:iCs/>
        </w:rPr>
        <w:t xml:space="preserve">Oecologia</w:t>
      </w:r>
      <w:r>
        <w:t xml:space="preserve"> </w:t>
      </w:r>
      <w:r>
        <w:t xml:space="preserve">130 (1): 1‑14.</w:t>
      </w:r>
      <w:r>
        <w:t xml:space="preserve"> </w:t>
      </w:r>
      <w:hyperlink r:id="rId49">
        <w:r>
          <w:rPr>
            <w:rStyle w:val="Hyperlink"/>
          </w:rPr>
          <w:t xml:space="preserve">https://doi.org/10.1007/s004420100809</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10" Target="media/rId10.png" /><Relationship Type="http://schemas.openxmlformats.org/officeDocument/2006/relationships/hyperlink" Id="rId49" Target="https://doi.org/10.1007/s004420100809" TargetMode="External" /><Relationship Type="http://schemas.openxmlformats.org/officeDocument/2006/relationships/hyperlink" Id="rId47" Target="https://doi.org/10.1016/j.pecon.2021.04.003" TargetMode="External" /><Relationship Type="http://schemas.openxmlformats.org/officeDocument/2006/relationships/hyperlink" Id="rId35" Target="https://doi.org/10.1038/nature10425" TargetMode="External" /><Relationship Type="http://schemas.openxmlformats.org/officeDocument/2006/relationships/hyperlink" Id="rId40" Target="https://doi.org/10.1038/s41559-022-01831-x" TargetMode="External" /><Relationship Type="http://schemas.openxmlformats.org/officeDocument/2006/relationships/hyperlink" Id="rId33" Target="https://doi.org/10.1038/s41559-025-02956-5" TargetMode="External" /><Relationship Type="http://schemas.openxmlformats.org/officeDocument/2006/relationships/hyperlink" Id="rId29" Target="https://doi.org/10.1111/2041-210X.14357" TargetMode="External" /><Relationship Type="http://schemas.openxmlformats.org/officeDocument/2006/relationships/hyperlink" Id="rId31" Target="https://doi.org/10.1126/science.199.4335.1302" TargetMode="External" /><Relationship Type="http://schemas.openxmlformats.org/officeDocument/2006/relationships/hyperlink" Id="rId38" Target="https://doi.org/10.2307/1934352" TargetMode="External" /><Relationship Type="http://schemas.openxmlformats.org/officeDocument/2006/relationships/hyperlink" Id="rId44" Target="https://doi.org/10.32614/R.manuals" TargetMode="External" /><Relationship Type="http://schemas.openxmlformats.org/officeDocument/2006/relationships/hyperlink" Id="rId14" Target="https://ecohack.shinyapps.io/Acoustic_Index_Users_Guide/"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7/s004420100809" TargetMode="External" /><Relationship Type="http://schemas.openxmlformats.org/officeDocument/2006/relationships/hyperlink" Id="rId47" Target="https://doi.org/10.1016/j.pecon.2021.04.003" TargetMode="External" /><Relationship Type="http://schemas.openxmlformats.org/officeDocument/2006/relationships/hyperlink" Id="rId35" Target="https://doi.org/10.1038/nature10425" TargetMode="External" /><Relationship Type="http://schemas.openxmlformats.org/officeDocument/2006/relationships/hyperlink" Id="rId40" Target="https://doi.org/10.1038/s41559-022-01831-x" TargetMode="External" /><Relationship Type="http://schemas.openxmlformats.org/officeDocument/2006/relationships/hyperlink" Id="rId33" Target="https://doi.org/10.1038/s41559-025-02956-5" TargetMode="External" /><Relationship Type="http://schemas.openxmlformats.org/officeDocument/2006/relationships/hyperlink" Id="rId29" Target="https://doi.org/10.1111/2041-210X.14357" TargetMode="External" /><Relationship Type="http://schemas.openxmlformats.org/officeDocument/2006/relationships/hyperlink" Id="rId31" Target="https://doi.org/10.1126/science.199.4335.1302" TargetMode="External" /><Relationship Type="http://schemas.openxmlformats.org/officeDocument/2006/relationships/hyperlink" Id="rId38" Target="https://doi.org/10.2307/1934352" TargetMode="External" /><Relationship Type="http://schemas.openxmlformats.org/officeDocument/2006/relationships/hyperlink" Id="rId44" Target="https://doi.org/10.32614/R.manuals" TargetMode="External" /><Relationship Type="http://schemas.openxmlformats.org/officeDocument/2006/relationships/hyperlink" Id="rId14" Target="https://ecohack.shinyapps.io/Acoustic_Index_Users_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Stylish Article</dc:title>
  <dc:creator>Félix Romiguière</dc:creator>
  <dc:language>fr-FR</dc:language>
  <cp:keywords>template, demo</cp:keywords>
  <dcterms:created xsi:type="dcterms:W3CDTF">2026-09-11T14:43:04Z</dcterms:created>
  <dcterms:modified xsi:type="dcterms:W3CDTF">2026-09-11T14:43:04Z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is only a demo explaining how to use the Stylish Article template.</vt:lpwstr>
  </property>
  <property fmtid="{D5CDD505-2E9C-101B-9397-08002B2CF9AE}" pid="3" name="affiliations">
    <vt:lpwstr/>
  </property>
  <property fmtid="{D5CDD505-2E9C-101B-9397-08002B2CF9AE}" pid="4" name="archive">
    <vt:lpwstr>DOI: xxx/xx</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rrauthorlabel">
    <vt:lpwstr>Corresponding Author</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ournalinfo">
    <vt:lpwstr>Publication reference</vt:lpwstr>
  </property>
  <property fmtid="{D5CDD505-2E9C-101B-9397-08002B2CF9AE}" pid="17" name="keywordlabel">
    <vt:lpwstr>Keywords</vt:lpwstr>
  </property>
  <property fmtid="{D5CDD505-2E9C-101B-9397-08002B2CF9AE}" pid="18" name="labels">
    <vt:lpwstr/>
  </property>
  <property fmtid="{D5CDD505-2E9C-101B-9397-08002B2CF9AE}" pid="19" name="otherlangs">
    <vt:lpwstr>en-GB</vt:lpwstr>
  </property>
  <property fmtid="{D5CDD505-2E9C-101B-9397-08002B2CF9AE}" pid="20" name="reference-section-title">
    <vt:lpwstr>References</vt:lpwstr>
  </property>
  <property fmtid="{D5CDD505-2E9C-101B-9397-08002B2CF9AE}" pid="21" name="toc-title">
    <vt:lpwstr>Table des matières</vt:lpwstr>
  </property>
</Properties>
</file>