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2.png" ContentType="image/png"/>
  <Override PartName="/word/media/rId9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Stylish Article</w:t>
      </w:r>
    </w:p>
    <w:p>
      <w:pPr>
        <w:pStyle w:val="Author"/>
      </w:pPr>
      <w:r>
        <w:t xml:space="preserve">Félix Romiguière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Ce document est un test d’utilisation de git pour le projet Tahiti Soundscape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des matières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VerbatimChar"/>
        </w:rPr>
        <w:t xml:space="preserve">package 'spatstat.utils' successfully unpacked and SHA256 sums checked</w:t>
      </w:r>
      <w:r>
        <w:br/>
      </w:r>
      <w:r>
        <w:rPr>
          <w:rStyle w:val="VerbatimChar"/>
        </w:rPr>
        <w:t xml:space="preserve">package 'selectr' successfully unpacked and SHA256 sums checked</w:t>
      </w:r>
      <w:r>
        <w:br/>
      </w:r>
      <w:r>
        <w:rPr>
          <w:rStyle w:val="VerbatimChar"/>
        </w:rPr>
        <w:t xml:space="preserve">package 'spatstat.geom' successfully unpacked and SHA256 sums checked</w:t>
      </w:r>
      <w:r>
        <w:br/>
      </w:r>
      <w:r>
        <w:rPr>
          <w:rStyle w:val="VerbatimChar"/>
        </w:rPr>
        <w:t xml:space="preserve">package 'readxl' successfully unpacked and SHA256 sums checked</w:t>
      </w:r>
      <w:r>
        <w:br/>
      </w:r>
      <w:r>
        <w:rPr>
          <w:rStyle w:val="VerbatimChar"/>
        </w:rPr>
        <w:t xml:space="preserve">package 'sf' successfully unpacked and SHA256 sums checked</w:t>
      </w:r>
      <w:r>
        <w:br/>
      </w:r>
      <w:r>
        <w:rPr>
          <w:rStyle w:val="VerbatimChar"/>
        </w:rPr>
        <w:t xml:space="preserve">package 'ggspatial' successfully unpacked and SHA256 sums checked</w:t>
      </w:r>
      <w:r>
        <w:br/>
      </w:r>
      <w:r>
        <w:br/>
      </w:r>
      <w:r>
        <w:rPr>
          <w:rStyle w:val="VerbatimChar"/>
        </w:rPr>
        <w:t xml:space="preserve">The downloaded binary packages are in</w:t>
      </w:r>
      <w:r>
        <w:br/>
      </w:r>
      <w:r>
        <w:rPr>
          <w:rStyle w:val="VerbatimChar"/>
        </w:rPr>
        <w:t xml:space="preserve">    /var/folders/36/tjdph2t965j8snz9_vkdnw0r0000gn/T//RtmpqjNKzD/downloaded_packages</w:t>
      </w:r>
    </w:p>
    <w:p>
      <w:pPr>
        <w:pStyle w:val="FirstParagraph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bookmarkStart w:id="27" w:name="X726223d2540271c3f2f721d46071e0ade101a39"/>
    <w:p>
      <w:pPr>
        <w:pStyle w:val="Heading1"/>
      </w:pPr>
      <w:r>
        <w:t xml:space="preserve">Méthode pour la prise de mesure Google Earth</w:t>
      </w:r>
    </w:p>
    <w:p>
      <w:pPr>
        <w:numPr>
          <w:ilvl w:val="0"/>
          <w:numId w:val="1001"/>
        </w:numPr>
      </w:pPr>
      <w:r>
        <w:t xml:space="preserve">La date des images de Google Earth varie entre le 15/07/2023 et le 02/03/2025.</w:t>
      </w:r>
    </w:p>
    <w:p>
      <w:pPr>
        <w:numPr>
          <w:ilvl w:val="0"/>
          <w:numId w:val="1001"/>
        </w:numPr>
      </w:pPr>
      <w:r>
        <w:t xml:space="preserve">Un cercle de 100m de rayon est créé autour de chaque enregistreur, égalant une surface de 31416 m².</w:t>
      </w:r>
      <w:r>
        <w:t xml:space="preserve"> </w:t>
      </w:r>
      <w:r>
        <w:t xml:space="preserve">Pour les mesures des polygones (HSA et HERB) on zoom pour représenter 1/3-1/4 du cercle avec un angle de plan en zénithal.</w:t>
      </w:r>
    </w:p>
    <w:p>
      <w:pPr>
        <w:numPr>
          <w:ilvl w:val="0"/>
          <w:numId w:val="1001"/>
        </w:numPr>
      </w:pPr>
      <w:r>
        <w:t xml:space="preserve">On accumule ensuite les zones délimitées en sommant les valeurs de surface (m²) de nos polygones.</w:t>
      </w:r>
      <w:r>
        <w:t xml:space="preserve"> </w:t>
      </w:r>
      <w:r>
        <w:t xml:space="preserve">Attention à bien refaire les polygones pour les sites se chevauchant entre eux (ex: ILM)</w:t>
      </w:r>
    </w:p>
    <w:p>
      <w:pPr>
        <w:numPr>
          <w:ilvl w:val="0"/>
          <w:numId w:val="1001"/>
        </w:numPr>
      </w:pPr>
      <w:r>
        <w:t xml:space="preserve">Attention à bien prendre en compte les canopées, même surplombants une route car importants pour les oiseaux.</w:t>
      </w:r>
    </w:p>
    <w:p>
      <w:pPr>
        <w:numPr>
          <w:ilvl w:val="0"/>
          <w:numId w:val="1001"/>
        </w:numPr>
      </w:pPr>
      <w:r>
        <w:t xml:space="preserve">Flou entre les routes d’accès en terre et celles en graviers Flou pour les surfaces HERB et la fougère en altitude.</w:t>
      </w:r>
      <w:r>
        <w:t xml:space="preserve"> </w:t>
      </w:r>
      <w:r>
        <w:t xml:space="preserve">Doit-elle être considérée dedans ?</w:t>
      </w:r>
      <w:r>
        <w:t xml:space="preserve"> </w:t>
      </w:r>
      <w:r>
        <w:t xml:space="preserve">(Oui car zone vraiment herbacée peut ne pas représenter les mêmes habitats et communautés aviaires que les fougères (zone agricole/parc vs versant de vallée)), parfois séparation pas claire entre les deux.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fougere"/>
          <w:p>
            <w:pPr>
              <w:jc w:val="center"/>
            </w:pPr>
          </w:p>
          <w:p>
            <w:pPr>
              <w:jc w:val="center"/>
            </w:pPr>
            <w:r>
              <w:drawing>
                <wp:inline>
                  <wp:extent cx="3733800" cy="3610514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images/fougere_et_herb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6105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>
                  <wp:extent cx="3733800" cy="3241378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images/fouger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41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Séparation parfois complexe entre les vraies zones herbacées et les végétations de fougère (PI_Belvedre_5).</w:t>
            </w:r>
            <w:r>
              <w:t xml:space="preserve"> </w:t>
            </w:r>
            <w:r>
              <w:t xml:space="preserve">Les fougères peuvent représenter des surfaces importantes (OBelvedere_2).</w:t>
            </w:r>
          </w:p>
          <w:bookmarkEnd w:id="15"/>
        </w:tc>
      </w:tr>
    </w:tbl>
    <w:p>
      <w:pPr>
        <w:pStyle w:val="BodyText"/>
      </w:pPr>
    </w:p>
    <w:p>
      <w:pPr>
        <w:pStyle w:val="BodyText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ouvert"/>
          <w:p>
            <w:pPr>
              <w:jc w:val="center"/>
            </w:pP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unnamed-chunk-4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unnamed-chunk-4-2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Proportion de HSA et de couvert herbacé par site.</w:t>
            </w:r>
            <w:r>
              <w:t xml:space="preserve"> </w:t>
            </w:r>
            <w:r>
              <w:t xml:space="preserve">Ces deux variables ne sont pas corrélées entre elles:</w:t>
            </w:r>
            <w:r>
              <w:t xml:space="preserve"> </w:t>
            </w:r>
            <w:r>
              <w:t xml:space="preserve">“cor(HSA,HERB)”</w:t>
            </w:r>
            <w:r>
              <w:t xml:space="preserve"> </w:t>
            </w:r>
            <w:r>
              <w:t xml:space="preserve">= 0.03168</w:t>
            </w:r>
          </w:p>
          <w:bookmarkEnd w:id="22"/>
        </w:tc>
      </w:tr>
    </w:tbl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tahiti"/>
          <w:p>
            <w:pPr>
              <w:jc w:val="center"/>
            </w:pP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s/carte_sites_tahiti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Carte des 69 sites intégrés dans les enregistrements de paysage sonore.</w:t>
            </w:r>
            <w:r>
              <w:t xml:space="preserve"> </w:t>
            </w:r>
            <w:r>
              <w:t xml:space="preserve">Les couleurs chaudes représentent les sites de plus haute altitude.</w:t>
            </w:r>
          </w:p>
          <w:bookmarkEnd w:id="26"/>
        </w:tc>
      </w:tr>
    </w:tbl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Stylish Article</dc:title>
  <dc:creator>Félix Romiguière</dc:creator>
  <dc:language>fr-FR</dc:language>
  <cp:keywords>template, demo</cp:keywords>
  <dcterms:created xsi:type="dcterms:W3CDTF">2026-09-20T13:38:20Z</dcterms:created>
  <dcterms:modified xsi:type="dcterms:W3CDTF">2026-09-20T13:38:20Z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Ce document est un test d’utilisation de git pour le projet Tahiti Soundscape</vt:lpwstr>
  </property>
  <property fmtid="{D5CDD505-2E9C-101B-9397-08002B2CF9AE}" pid="3" name="affiliations">
    <vt:lpwstr/>
  </property>
  <property fmtid="{D5CDD505-2E9C-101B-9397-08002B2CF9AE}" pid="4" name="archive">
    <vt:lpwstr>DOI: xxx/xx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rrauthorlabel">
    <vt:lpwstr>Corresponding Author</vt:lpwstr>
  </property>
  <property fmtid="{D5CDD505-2E9C-101B-9397-08002B2CF9AE}" pid="11" name="execute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journalinfo">
    <vt:lpwstr>Publication reference</vt:lpwstr>
  </property>
  <property fmtid="{D5CDD505-2E9C-101B-9397-08002B2CF9AE}" pid="16" name="keywordlabel">
    <vt:lpwstr>Keywords</vt:lpwstr>
  </property>
  <property fmtid="{D5CDD505-2E9C-101B-9397-08002B2CF9AE}" pid="17" name="labels">
    <vt:lpwstr/>
  </property>
  <property fmtid="{D5CDD505-2E9C-101B-9397-08002B2CF9AE}" pid="18" name="otherlangs">
    <vt:lpwstr>en-GB</vt:lpwstr>
  </property>
  <property fmtid="{D5CDD505-2E9C-101B-9397-08002B2CF9AE}" pid="19" name="reference-section-title">
    <vt:lpwstr>References</vt:lpwstr>
  </property>
  <property fmtid="{D5CDD505-2E9C-101B-9397-08002B2CF9AE}" pid="20" name="toc-title">
    <vt:lpwstr>Table des matières</vt:lpwstr>
  </property>
</Properties>
</file>