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0E12"/>
          <w:sz w:val="60"/>
        </w:rPr>
        <w:t>AI Defense Lab for Payment Security</w:t>
      </w:r>
    </w:p>
    <w:p>
      <w:pPr>
        <w:jc w:val="center"/>
      </w:pPr>
      <w:r>
        <w:rPr>
          <w:i/>
          <w:color w:val="5B6663"/>
          <w:sz w:val="26"/>
        </w:rPr>
        <w:t>A closed-loop red-team / blue-team system for adaptive payment fraud detection — an evolutionary attacker, a three-stream defense, and a retraining loop where each side's output becomes the other side's next training signal.</w:t>
      </w:r>
    </w:p>
    <w:p/>
    <w:p>
      <w:pPr>
        <w:jc w:val="center"/>
      </w:pPr>
      <w:r>
        <w:rPr>
          <w:b/>
          <w:sz w:val="21"/>
        </w:rPr>
        <w:t xml:space="preserve">Competition:  </w:t>
      </w:r>
      <w:r>
        <w:rPr>
          <w:color w:val="5B6663"/>
          <w:sz w:val="21"/>
        </w:rPr>
        <w:t>Mastercard Innovation Challenge @ GFF 2026</w:t>
        <w:br/>
      </w:r>
      <w:r>
        <w:rPr>
          <w:b/>
          <w:sz w:val="21"/>
        </w:rPr>
        <w:t xml:space="preserve">Team:  </w:t>
      </w:r>
      <w:r>
        <w:rPr>
          <w:color w:val="5B6663"/>
          <w:sz w:val="21"/>
        </w:rPr>
        <w:t>JNR</w:t>
        <w:br/>
      </w:r>
      <w:r>
        <w:rPr>
          <w:b/>
          <w:sz w:val="21"/>
        </w:rPr>
        <w:t xml:space="preserve">Members:  </w:t>
      </w:r>
      <w:r>
        <w:rPr>
          <w:color w:val="5B6663"/>
          <w:sz w:val="21"/>
        </w:rPr>
        <w:t>Rohith R (Lead) · Jayashre · Nidhi Gummaraju</w:t>
        <w:br/>
      </w:r>
      <w:r>
        <w:rPr>
          <w:b/>
          <w:sz w:val="21"/>
        </w:rPr>
        <w:t xml:space="preserve">Emails:  </w:t>
      </w:r>
      <w:r>
        <w:rPr>
          <w:color w:val="5B6663"/>
          <w:sz w:val="21"/>
        </w:rPr>
        <w:t>roahith11@gmail.com · jaya2004kra@gmail.com · nidhigumm05@gmail.com</w:t>
        <w:br/>
      </w:r>
      <w:r>
        <w:rPr>
          <w:b/>
          <w:sz w:val="21"/>
        </w:rPr>
        <w:t xml:space="preserve">Venue:  </w:t>
      </w:r>
      <w:r>
        <w:rPr>
          <w:color w:val="5B6663"/>
          <w:sz w:val="21"/>
        </w:rPr>
        <w:t>Jio World Centre, Mumbai</w:t>
        <w:br/>
      </w:r>
    </w:p>
    <w:p>
      <w:r>
        <w:br w:type="page"/>
      </w:r>
    </w:p>
    <w:p>
      <w:pPr>
        <w:pStyle w:val="Heading1"/>
      </w:pPr>
      <w:r>
        <w:t>What to Check First</w:t>
      </w:r>
    </w:p>
    <w:p>
      <w:r>
        <w:t>Most of this document is standard walkthrough material: what we built and why. If you only have a few minutes, the five items below are the ones worth opening, because each one is a number nobody required us to report and we reported it anyway.</w:t>
      </w:r>
    </w:p>
    <w:p>
      <w:pPr>
        <w:pStyle w:val="ListBullet"/>
      </w:pPr>
      <w:r>
        <w:t>The within-episode evasion curve in results/attack_generation_curve.csv. It climbs from 8.3% at generation 0 to 100% by generation 6, which is what a search process looks like when it's actually searching rather than getting lucky once.</w:t>
      </w:r>
    </w:p>
    <w:p>
      <w:pPr>
        <w:pStyle w:val="ListBullet"/>
      </w:pPr>
      <w:r>
        <w:t>results/evasion_curve.json, which tracks clean-set PR-AUC across all eight retraining rounds alongside attack success. A detector could technically raise its evasion-resistance by flagging everything, and this file is what would expose that if it happened.</w:t>
      </w:r>
    </w:p>
    <w:p>
      <w:pPr>
        <w:pStyle w:val="ListBullet"/>
      </w:pPr>
      <w:r>
        <w:t>The PaySim fidelity comparison in Section 5. We tested our synthetic amount field against 6.36 million real transactions and got back a 20% similarity score. We kept that number instead of retuning the generator until it improved, and Section 5 explains what we found when we dug into why.</w:t>
      </w:r>
    </w:p>
    <w:p>
      <w:pPr>
        <w:pStyle w:val="ListBullet"/>
      </w:pPr>
      <w:r>
        <w:t>identify/taxonomy.yaml, fifteen attack rows, each tied to a named incident, a protocol spec, or a regulator filing. Where a figure came from a vendor with a reason to inflate it, that's noted next to the figure, not left out.</w:t>
      </w:r>
    </w:p>
    <w:p>
      <w:pPr>
        <w:pStyle w:val="ListBullet"/>
      </w:pPr>
      <w:r>
        <w:t>The schema itself — 17 named fields like amount, channel, and velocity_1h, rather than anonymized components. It means every attacker mutation and every model feature is something you could point to on a screen and explain in one sentence.</w:t>
      </w:r>
    </w:p>
    <w:p>
      <w:r>
        <w:t>Building any one of these isn't unusual. Running them, getting an answer we didn't like, and keeping it in the document is the part that took the most discipline, and it's the pattern that shows up again across the rest of this project.</w:t>
      </w:r>
    </w:p>
    <w:p>
      <w:pPr>
        <w:pStyle w:val="Heading1"/>
      </w:pPr>
      <w:r>
        <w:t>Thesis</w:t>
      </w:r>
    </w:p>
    <w:p>
      <w:r>
        <w:t>Most teams in a challenge like this will submit a trained classifier and a slide explaining its accuracy. Our position is that a classifier alone is the wrong deliverable, because a static fraud model is really just a snapshot of last quarter's fraud patterns.</w:t>
      </w:r>
    </w:p>
    <w:p>
      <w:r>
        <w:t>The moment a model like that ships, an adversary with API access and enough patience can query it repeatedly, map out where it's weak, and route transactions around those weak points. Generative AI has made that kind of patience cheap to buy. Deepfake CFO calls, forged agent-payment mandates, and automated evasion search aren't hypothetical research scenarios anymore — they're incidents from 2025 and 2026 with named victims and real dollar figures attached.</w:t>
      </w:r>
    </w:p>
    <w:p>
      <w:r>
        <w:t>That's why we built the loop a classifier would need to live inside, rather than the classifier by itself. An attacker evolves against the detector's score, the detector mines whatever evades it and retrains, and the attacker evolves again against the new version. Every figure in this document was produced by running that loop, not written down ahead of time.</w:t>
      </w:r>
    </w:p>
    <w:p>
      <w:pPr>
        <w:pStyle w:val="Heading3"/>
      </w:pPr>
      <w:r>
        <w:t>What the loop means in practice</w:t>
      </w:r>
    </w:p>
    <w:p>
      <w:pPr>
        <w:pStyle w:val="ListBullet"/>
      </w:pPr>
      <w:r>
        <w:t>An evolutionary search population mutates 9 attacker-controllable transaction fields against the detector's live probability score.</w:t>
      </w:r>
    </w:p>
    <w:p>
      <w:pPr>
        <w:pStyle w:val="ListBullet"/>
      </w:pPr>
      <w:r>
        <w:t>Transactions that cross the deployed threshold get mined and folded into the next training set.</w:t>
      </w:r>
    </w:p>
    <w:p>
      <w:pPr>
        <w:pStyle w:val="ListBullet"/>
      </w:pPr>
      <w:r>
        <w:t>The detector retrains from scratch and is re-scored on a holdout it has never seen mined evasions from.</w:t>
      </w:r>
    </w:p>
    <w:p>
      <w:pPr>
        <w:pStyle w:val="ListBullet"/>
      </w:pPr>
      <w:r>
        <w:t>Both curves get reported side by side: attack success and clean-set PR-AUC. If a detector started winning by turning into a blanket blocker, that pairing is what would catch it.</w:t>
      </w:r>
    </w:p>
    <w:p>
      <w:pPr>
        <w:pStyle w:val="Heading1"/>
      </w:pPr>
      <w:r>
        <w:t>Why This Build, Not the Obvious One</w:t>
      </w:r>
    </w:p>
    <w:p>
      <w:r>
        <w:t>A common pattern in challenges like this is easy to spot from the dataset alone: ask an LLM for a list of attack types, generate rows with Faker, train an XGBoost model on the 2013 ULB credit-card dataset, and wrap the result in a Streamlit app. That dataset is two days of European card traffic run through PCA and reduced to 28 components named V1 through V28. There's no way to narrate what "realistic payment behavior" means when the underlying feature is called V17.</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shd w:fill="1A1F24"/>
          </w:tcPr>
          <w:p>
            <w:r>
              <w:rPr>
                <w:b/>
                <w:color w:val="FFFFFF"/>
                <w:sz w:val="19"/>
              </w:rPr>
            </w:r>
          </w:p>
        </w:tc>
        <w:tc>
          <w:tcPr>
            <w:tcW w:type="dxa" w:w="2880"/>
            <w:shd w:fill="1A1F24"/>
          </w:tcPr>
          <w:p>
            <w:r>
              <w:rPr>
                <w:b/>
                <w:color w:val="FFFFFF"/>
                <w:sz w:val="19"/>
              </w:rPr>
              <w:t>Their approach</w:t>
            </w:r>
          </w:p>
        </w:tc>
        <w:tc>
          <w:tcPr>
            <w:tcW w:type="dxa" w:w="2880"/>
            <w:shd w:fill="1A1F24"/>
          </w:tcPr>
          <w:p>
            <w:r>
              <w:rPr>
                <w:b/>
                <w:color w:val="FFFFFF"/>
                <w:sz w:val="19"/>
              </w:rPr>
              <w:t>Our approach</w:t>
            </w:r>
          </w:p>
        </w:tc>
      </w:tr>
      <w:tr>
        <w:tc>
          <w:tcPr>
            <w:tcW w:type="dxa" w:w="2880"/>
          </w:tcPr>
          <w:p>
            <w:pPr>
              <w:spacing w:after="40"/>
            </w:pPr>
            <w:r>
              <w:rPr>
                <w:sz w:val="19"/>
              </w:rPr>
              <w:t>Data</w:t>
            </w:r>
          </w:p>
        </w:tc>
        <w:tc>
          <w:tcPr>
            <w:tcW w:type="dxa" w:w="2880"/>
          </w:tcPr>
          <w:p>
            <w:pPr>
              <w:spacing w:after="40"/>
            </w:pPr>
            <w:r>
              <w:rPr>
                <w:sz w:val="19"/>
              </w:rPr>
              <w:t>V1 … V28 (opaque PCA components)</w:t>
            </w:r>
          </w:p>
        </w:tc>
        <w:tc>
          <w:tcPr>
            <w:tcW w:type="dxa" w:w="2880"/>
          </w:tcPr>
          <w:p>
            <w:pPr>
              <w:spacing w:after="40"/>
            </w:pPr>
            <w:r>
              <w:rPr>
                <w:sz w:val="19"/>
              </w:rPr>
              <w:t>17 named fields: amount, channel, auth_method, velocity_1h, …</w:t>
            </w:r>
          </w:p>
        </w:tc>
      </w:tr>
      <w:tr>
        <w:tc>
          <w:tcPr>
            <w:tcW w:type="dxa" w:w="2880"/>
          </w:tcPr>
          <w:p>
            <w:pPr>
              <w:spacing w:after="40"/>
            </w:pPr>
            <w:r>
              <w:rPr>
                <w:sz w:val="19"/>
              </w:rPr>
              <w:t>Explainability</w:t>
            </w:r>
          </w:p>
        </w:tc>
        <w:tc>
          <w:tcPr>
            <w:tcW w:type="dxa" w:w="2880"/>
          </w:tcPr>
          <w:p>
            <w:pPr>
              <w:spacing w:after="40"/>
            </w:pPr>
            <w:r>
              <w:rPr>
                <w:sz w:val="19"/>
              </w:rPr>
              <w:t>Unexplainable to a judge; unusable for feature-level attacks</w:t>
            </w:r>
          </w:p>
        </w:tc>
        <w:tc>
          <w:tcPr>
            <w:tcW w:type="dxa" w:w="2880"/>
          </w:tcPr>
          <w:p>
            <w:pPr>
              <w:spacing w:after="40"/>
            </w:pPr>
            <w:r>
              <w:rPr>
                <w:sz w:val="19"/>
              </w:rPr>
              <w:t>Every field is something a real payment log actually has</w:t>
            </w:r>
          </w:p>
        </w:tc>
      </w:tr>
      <w:tr>
        <w:tc>
          <w:tcPr>
            <w:tcW w:type="dxa" w:w="2880"/>
          </w:tcPr>
          <w:p>
            <w:pPr>
              <w:spacing w:after="40"/>
            </w:pPr>
            <w:r>
              <w:rPr>
                <w:sz w:val="19"/>
              </w:rPr>
              <w:t>Evaluation</w:t>
            </w:r>
          </w:p>
        </w:tc>
        <w:tc>
          <w:tcPr>
            <w:tcW w:type="dxa" w:w="2880"/>
          </w:tcPr>
          <w:p>
            <w:pPr>
              <w:spacing w:after="40"/>
            </w:pPr>
            <w:r>
              <w:rPr>
                <w:sz w:val="19"/>
              </w:rPr>
              <w:t>ROC-AUC 0.98 — flattering under &lt;1% fraud prevalence, static</w:t>
            </w:r>
          </w:p>
        </w:tc>
        <w:tc>
          <w:tcPr>
            <w:tcW w:type="dxa" w:w="2880"/>
          </w:tcPr>
          <w:p>
            <w:pPr>
              <w:spacing w:after="40"/>
            </w:pPr>
            <w:r>
              <w:rPr>
                <w:sz w:val="19"/>
              </w:rPr>
              <w:t>PR-AUC, recall@fixed-FPR, precision@k, plus a live evolutionary adversary</w:t>
            </w:r>
          </w:p>
        </w:tc>
      </w:tr>
    </w:tbl>
    <w:p/>
    <w:p>
      <w:pPr>
        <w:pStyle w:val="Heading1"/>
      </w:pPr>
      <w:r>
        <w:t>1. Identify — Threat Taxonomy</w:t>
      </w:r>
    </w:p>
    <w:p>
      <w:r>
        <w:t>A list of attack categories without sourcing is easy to produce and hard to trust. Each row in our taxonomy is tied to a named incident, a protocol specification, or a regulator filing, and when a figure comes from a vendor that has a commercial reason to inflate it, that context sits right next to the number rather than in a footnote someone has to go looking for. The full matrix runs to 15 rows across six surfaces (S1×3, S2×3, S3×2, S4×3, S5×2, S6×2), is schema-validated in CI, and lives at identify/taxonomy.yaml. The table below is a representative subset.</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shd w:fill="1A1F24"/>
          </w:tcPr>
          <w:p>
            <w:r>
              <w:rPr>
                <w:b/>
                <w:color w:val="FFFFFF"/>
                <w:sz w:val="19"/>
              </w:rPr>
              <w:t>Surface</w:t>
            </w:r>
          </w:p>
        </w:tc>
        <w:tc>
          <w:tcPr>
            <w:tcW w:type="dxa" w:w="2160"/>
            <w:shd w:fill="1A1F24"/>
          </w:tcPr>
          <w:p>
            <w:r>
              <w:rPr>
                <w:b/>
                <w:color w:val="FFFFFF"/>
                <w:sz w:val="19"/>
              </w:rPr>
              <w:t>Representative vector</w:t>
            </w:r>
          </w:p>
        </w:tc>
        <w:tc>
          <w:tcPr>
            <w:tcW w:type="dxa" w:w="2160"/>
            <w:shd w:fill="1A1F24"/>
          </w:tcPr>
          <w:p>
            <w:r>
              <w:rPr>
                <w:b/>
                <w:color w:val="FFFFFF"/>
                <w:sz w:val="19"/>
              </w:rPr>
              <w:t>Grounding</w:t>
            </w:r>
          </w:p>
        </w:tc>
        <w:tc>
          <w:tcPr>
            <w:tcW w:type="dxa" w:w="2160"/>
            <w:shd w:fill="1A1F24"/>
          </w:tcPr>
          <w:p>
            <w:r>
              <w:rPr>
                <w:b/>
                <w:color w:val="FFFFFF"/>
                <w:sz w:val="19"/>
              </w:rPr>
              <w:t>Severity</w:t>
            </w:r>
          </w:p>
        </w:tc>
      </w:tr>
      <w:tr>
        <w:tc>
          <w:tcPr>
            <w:tcW w:type="dxa" w:w="2160"/>
          </w:tcPr>
          <w:p>
            <w:pPr>
              <w:spacing w:after="40"/>
            </w:pPr>
            <w:r>
              <w:rPr>
                <w:sz w:val="19"/>
              </w:rPr>
              <w:t>S1</w:t>
            </w:r>
          </w:p>
        </w:tc>
        <w:tc>
          <w:tcPr>
            <w:tcW w:type="dxa" w:w="2160"/>
          </w:tcPr>
          <w:p>
            <w:pPr>
              <w:spacing w:after="40"/>
            </w:pPr>
            <w:r>
              <w:rPr>
                <w:sz w:val="19"/>
              </w:rPr>
              <w:t>Deepfake CFO video/voice fraud</w:t>
            </w:r>
          </w:p>
        </w:tc>
        <w:tc>
          <w:tcPr>
            <w:tcW w:type="dxa" w:w="2160"/>
          </w:tcPr>
          <w:p>
            <w:pPr>
              <w:spacing w:after="40"/>
            </w:pPr>
            <w:r>
              <w:rPr>
                <w:sz w:val="19"/>
              </w:rPr>
              <w:t>Arup Hong Kong — US$25.6M, 15 wire transfers, Feb 2024 (CNN, SCMP)</w:t>
            </w:r>
          </w:p>
        </w:tc>
        <w:tc>
          <w:tcPr>
            <w:tcW w:type="dxa" w:w="2160"/>
          </w:tcPr>
          <w:p>
            <w:pPr>
              <w:spacing w:after="40"/>
            </w:pPr>
            <w:r>
              <w:rPr>
                <w:sz w:val="19"/>
              </w:rPr>
              <w:t>Critical</w:t>
            </w:r>
          </w:p>
        </w:tc>
      </w:tr>
      <w:tr>
        <w:tc>
          <w:tcPr>
            <w:tcW w:type="dxa" w:w="2160"/>
          </w:tcPr>
          <w:p>
            <w:pPr>
              <w:spacing w:after="40"/>
            </w:pPr>
            <w:r>
              <w:rPr>
                <w:sz w:val="19"/>
              </w:rPr>
              <w:t>S1</w:t>
            </w:r>
          </w:p>
        </w:tc>
        <w:tc>
          <w:tcPr>
            <w:tcW w:type="dxa" w:w="2160"/>
          </w:tcPr>
          <w:p>
            <w:pPr>
              <w:spacing w:after="40"/>
            </w:pPr>
            <w:r>
              <w:rPr>
                <w:sz w:val="19"/>
              </w:rPr>
              <w:t>Injection-based liveness bypass</w:t>
            </w:r>
          </w:p>
        </w:tc>
        <w:tc>
          <w:tcPr>
            <w:tcW w:type="dxa" w:w="2160"/>
          </w:tcPr>
          <w:p>
            <w:pPr>
              <w:spacing w:after="40"/>
            </w:pPr>
            <w:r>
              <w:rPr>
                <w:sz w:val="19"/>
              </w:rPr>
              <w:t>iProov Threat Intelligence 2025/2026 (vendor-attributed)</w:t>
            </w:r>
          </w:p>
        </w:tc>
        <w:tc>
          <w:tcPr>
            <w:tcW w:type="dxa" w:w="2160"/>
          </w:tcPr>
          <w:p>
            <w:pPr>
              <w:spacing w:after="40"/>
            </w:pPr>
            <w:r>
              <w:rPr>
                <w:sz w:val="19"/>
              </w:rPr>
              <w:t>High</w:t>
            </w:r>
          </w:p>
        </w:tc>
      </w:tr>
      <w:tr>
        <w:tc>
          <w:tcPr>
            <w:tcW w:type="dxa" w:w="2160"/>
          </w:tcPr>
          <w:p>
            <w:pPr>
              <w:spacing w:after="40"/>
            </w:pPr>
            <w:r>
              <w:rPr>
                <w:sz w:val="19"/>
              </w:rPr>
              <w:t>S2</w:t>
            </w:r>
          </w:p>
        </w:tc>
        <w:tc>
          <w:tcPr>
            <w:tcW w:type="dxa" w:w="2160"/>
          </w:tcPr>
          <w:p>
            <w:pPr>
              <w:spacing w:after="40"/>
            </w:pPr>
            <w:r>
              <w:rPr>
                <w:sz w:val="19"/>
              </w:rPr>
              <w:t>UPI collect-request abuse</w:t>
            </w:r>
          </w:p>
        </w:tc>
        <w:tc>
          <w:tcPr>
            <w:tcW w:type="dxa" w:w="2160"/>
          </w:tcPr>
          <w:p>
            <w:pPr>
              <w:spacing w:after="40"/>
            </w:pPr>
            <w:r>
              <w:rPr>
                <w:sz w:val="19"/>
              </w:rPr>
              <w:t>NPCI blocked P2P collect nationally, Oct 2025</w:t>
            </w:r>
          </w:p>
        </w:tc>
        <w:tc>
          <w:tcPr>
            <w:tcW w:type="dxa" w:w="2160"/>
          </w:tcPr>
          <w:p>
            <w:pPr>
              <w:spacing w:after="40"/>
            </w:pPr>
            <w:r>
              <w:rPr>
                <w:sz w:val="19"/>
              </w:rPr>
              <w:t>High</w:t>
            </w:r>
          </w:p>
        </w:tc>
      </w:tr>
      <w:tr>
        <w:tc>
          <w:tcPr>
            <w:tcW w:type="dxa" w:w="2160"/>
          </w:tcPr>
          <w:p>
            <w:pPr>
              <w:spacing w:after="40"/>
            </w:pPr>
            <w:r>
              <w:rPr>
                <w:sz w:val="19"/>
              </w:rPr>
              <w:t>S2</w:t>
            </w:r>
          </w:p>
        </w:tc>
        <w:tc>
          <w:tcPr>
            <w:tcW w:type="dxa" w:w="2160"/>
          </w:tcPr>
          <w:p>
            <w:pPr>
              <w:spacing w:after="40"/>
            </w:pPr>
            <w:r>
              <w:rPr>
                <w:sz w:val="19"/>
              </w:rPr>
              <w:t>Digital-arrest scams</w:t>
            </w:r>
          </w:p>
        </w:tc>
        <w:tc>
          <w:tcPr>
            <w:tcW w:type="dxa" w:w="2160"/>
          </w:tcPr>
          <w:p>
            <w:pPr>
              <w:spacing w:after="40"/>
            </w:pPr>
            <w:r>
              <w:rPr>
                <w:sz w:val="19"/>
              </w:rPr>
              <w:t>₹22,845 cr losses, 2024, MHA data to Parliament</w:t>
            </w:r>
          </w:p>
        </w:tc>
        <w:tc>
          <w:tcPr>
            <w:tcW w:type="dxa" w:w="2160"/>
          </w:tcPr>
          <w:p>
            <w:pPr>
              <w:spacing w:after="40"/>
            </w:pPr>
            <w:r>
              <w:rPr>
                <w:sz w:val="19"/>
              </w:rPr>
              <w:t>Critical</w:t>
            </w:r>
          </w:p>
        </w:tc>
      </w:tr>
      <w:tr>
        <w:tc>
          <w:tcPr>
            <w:tcW w:type="dxa" w:w="2160"/>
          </w:tcPr>
          <w:p>
            <w:pPr>
              <w:spacing w:after="40"/>
            </w:pPr>
            <w:r>
              <w:rPr>
                <w:sz w:val="19"/>
              </w:rPr>
              <w:t>S3</w:t>
            </w:r>
          </w:p>
        </w:tc>
        <w:tc>
          <w:tcPr>
            <w:tcW w:type="dxa" w:w="2160"/>
          </w:tcPr>
          <w:p>
            <w:pPr>
              <w:spacing w:after="40"/>
            </w:pPr>
            <w:r>
              <w:rPr>
                <w:sz w:val="19"/>
              </w:rPr>
              <w:t>BIN enumeration &amp; card testing</w:t>
            </w:r>
          </w:p>
        </w:tc>
        <w:tc>
          <w:tcPr>
            <w:tcW w:type="dxa" w:w="2160"/>
          </w:tcPr>
          <w:p>
            <w:pPr>
              <w:spacing w:after="40"/>
            </w:pPr>
            <w:r>
              <w:rPr>
                <w:sz w:val="19"/>
              </w:rPr>
              <w:t>10,500 active hacks, 23M+ txns compromised, 2025 (Mastercard / Recorded Future)</w:t>
            </w:r>
          </w:p>
        </w:tc>
        <w:tc>
          <w:tcPr>
            <w:tcW w:type="dxa" w:w="2160"/>
          </w:tcPr>
          <w:p>
            <w:pPr>
              <w:spacing w:after="40"/>
            </w:pPr>
            <w:r>
              <w:rPr>
                <w:sz w:val="19"/>
              </w:rPr>
              <w:t>High</w:t>
            </w:r>
          </w:p>
        </w:tc>
      </w:tr>
      <w:tr>
        <w:tc>
          <w:tcPr>
            <w:tcW w:type="dxa" w:w="2160"/>
          </w:tcPr>
          <w:p>
            <w:pPr>
              <w:spacing w:after="40"/>
            </w:pPr>
            <w:r>
              <w:rPr>
                <w:sz w:val="19"/>
              </w:rPr>
              <w:t>S4</w:t>
            </w:r>
          </w:p>
        </w:tc>
        <w:tc>
          <w:tcPr>
            <w:tcW w:type="dxa" w:w="2160"/>
          </w:tcPr>
          <w:p>
            <w:pPr>
              <w:spacing w:after="40"/>
            </w:pPr>
            <w:r>
              <w:rPr>
                <w:sz w:val="19"/>
              </w:rPr>
              <w:t>Mandate forgery &amp; replay</w:t>
            </w:r>
          </w:p>
        </w:tc>
        <w:tc>
          <w:tcPr>
            <w:tcW w:type="dxa" w:w="2160"/>
          </w:tcPr>
          <w:p>
            <w:pPr>
              <w:spacing w:after="40"/>
            </w:pPr>
            <w:r>
              <w:rPr>
                <w:sz w:val="19"/>
              </w:rPr>
              <w:t>Google AP2 spec, announced Sept 2025 — our own mandate demo, see Section 6</w:t>
            </w:r>
          </w:p>
        </w:tc>
        <w:tc>
          <w:tcPr>
            <w:tcW w:type="dxa" w:w="2160"/>
          </w:tcPr>
          <w:p>
            <w:pPr>
              <w:spacing w:after="40"/>
            </w:pPr>
            <w:r>
              <w:rPr>
                <w:sz w:val="19"/>
              </w:rPr>
              <w:t>High</w:t>
            </w:r>
          </w:p>
        </w:tc>
      </w:tr>
      <w:tr>
        <w:tc>
          <w:tcPr>
            <w:tcW w:type="dxa" w:w="2160"/>
          </w:tcPr>
          <w:p>
            <w:pPr>
              <w:spacing w:after="40"/>
            </w:pPr>
            <w:r>
              <w:rPr>
                <w:sz w:val="19"/>
              </w:rPr>
              <w:t>S4</w:t>
            </w:r>
          </w:p>
        </w:tc>
        <w:tc>
          <w:tcPr>
            <w:tcW w:type="dxa" w:w="2160"/>
          </w:tcPr>
          <w:p>
            <w:pPr>
              <w:spacing w:after="40"/>
            </w:pPr>
            <w:r>
              <w:rPr>
                <w:sz w:val="19"/>
              </w:rPr>
              <w:t>Indirect prompt injection on shopping agents</w:t>
            </w:r>
          </w:p>
        </w:tc>
        <w:tc>
          <w:tcPr>
            <w:tcW w:type="dxa" w:w="2160"/>
          </w:tcPr>
          <w:p>
            <w:pPr>
              <w:spacing w:after="40"/>
            </w:pPr>
            <w:r>
              <w:rPr>
                <w:sz w:val="19"/>
              </w:rPr>
              <w:t>Unit 42 / Zscaler / Forcepoint, documented in the wild 2025–26</w:t>
            </w:r>
          </w:p>
        </w:tc>
        <w:tc>
          <w:tcPr>
            <w:tcW w:type="dxa" w:w="2160"/>
          </w:tcPr>
          <w:p>
            <w:pPr>
              <w:spacing w:after="40"/>
            </w:pPr>
            <w:r>
              <w:rPr>
                <w:sz w:val="19"/>
              </w:rPr>
              <w:t>Critical</w:t>
            </w:r>
          </w:p>
        </w:tc>
      </w:tr>
      <w:tr>
        <w:tc>
          <w:tcPr>
            <w:tcW w:type="dxa" w:w="2160"/>
          </w:tcPr>
          <w:p>
            <w:pPr>
              <w:spacing w:after="40"/>
            </w:pPr>
            <w:r>
              <w:rPr>
                <w:sz w:val="19"/>
              </w:rPr>
              <w:t>S5</w:t>
            </w:r>
          </w:p>
        </w:tc>
        <w:tc>
          <w:tcPr>
            <w:tcW w:type="dxa" w:w="2160"/>
          </w:tcPr>
          <w:p>
            <w:pPr>
              <w:spacing w:after="40"/>
            </w:pPr>
            <w:r>
              <w:rPr>
                <w:sz w:val="19"/>
              </w:rPr>
              <w:t>Black-box evasion of the fraud scorer</w:t>
            </w:r>
          </w:p>
        </w:tc>
        <w:tc>
          <w:tcPr>
            <w:tcW w:type="dxa" w:w="2160"/>
          </w:tcPr>
          <w:p>
            <w:pPr>
              <w:spacing w:after="40"/>
            </w:pPr>
            <w:r>
              <w:rPr>
                <w:sz w:val="19"/>
              </w:rPr>
              <w:t>arXiv 2307.01390 — the exact attack we implement, see Section 2</w:t>
            </w:r>
          </w:p>
        </w:tc>
        <w:tc>
          <w:tcPr>
            <w:tcW w:type="dxa" w:w="2160"/>
          </w:tcPr>
          <w:p>
            <w:pPr>
              <w:spacing w:after="40"/>
            </w:pPr>
            <w:r>
              <w:rPr>
                <w:sz w:val="19"/>
              </w:rPr>
              <w:t>High</w:t>
            </w:r>
          </w:p>
        </w:tc>
      </w:tr>
      <w:tr>
        <w:tc>
          <w:tcPr>
            <w:tcW w:type="dxa" w:w="2160"/>
          </w:tcPr>
          <w:p>
            <w:pPr>
              <w:spacing w:after="40"/>
            </w:pPr>
            <w:r>
              <w:rPr>
                <w:sz w:val="19"/>
              </w:rPr>
              <w:t>S6</w:t>
            </w:r>
          </w:p>
        </w:tc>
        <w:tc>
          <w:tcPr>
            <w:tcW w:type="dxa" w:w="2160"/>
          </w:tcPr>
          <w:p>
            <w:pPr>
              <w:spacing w:after="40"/>
            </w:pPr>
            <w:r>
              <w:rPr>
                <w:sz w:val="19"/>
              </w:rPr>
              <w:t>Scam-as-a-service LLM tooling</w:t>
            </w:r>
          </w:p>
        </w:tc>
        <w:tc>
          <w:tcPr>
            <w:tcW w:type="dxa" w:w="2160"/>
          </w:tcPr>
          <w:p>
            <w:pPr>
              <w:spacing w:after="40"/>
            </w:pPr>
            <w:r>
              <w:rPr>
                <w:sz w:val="19"/>
              </w:rPr>
              <w:t>SlashNext pricing; independently assessed as partly hype (Netenrich, Tanium)</w:t>
            </w:r>
          </w:p>
        </w:tc>
        <w:tc>
          <w:tcPr>
            <w:tcW w:type="dxa" w:w="2160"/>
          </w:tcPr>
          <w:p>
            <w:pPr>
              <w:spacing w:after="40"/>
            </w:pPr>
            <w:r>
              <w:rPr>
                <w:sz w:val="19"/>
              </w:rPr>
              <w:t>Medium</w:t>
            </w:r>
          </w:p>
        </w:tc>
      </w:tr>
    </w:tbl>
    <w:p/>
    <w:p>
      <w:pPr>
        <w:pStyle w:val="Heading1"/>
      </w:pPr>
      <w:r>
        <w:t>2. Generate — The Adversarial Loop</w:t>
      </w:r>
    </w:p>
    <w:p>
      <w:r>
        <w:t>The attacker's job isn't to invent new fraud, it's to disguise existing fraud well enough to pass. Every candidate starts life as a real fraud-labeled transaction pulled from the training pool, deliberately, rather than a random clean row. Starting from a clean transaction and perturbing it slightly would be an easier problem and a less honest one; a real fraudster is working from an already-bad transaction and trying to make it look ordinary.</w:t>
      </w:r>
    </w:p>
    <w:p>
      <w:r>
        <w:t>Nine fields are open to the attacker: amount, currency, MCC, channel, auth method, new-payee flag, device ID, IP country, and merchant country. Velocity, account age, and issuer country are off limits, because those come from the issuer's own records, not from anything a fraudster submitting a payment could touch.</w:t>
      </w:r>
    </w:p>
    <w:p>
      <w:r>
        <w:t>Fitness is defined as 1 minus the detector's score, and selection combines tournament selection with elitism. Every candidate that comes out of mutation or crossover passes through a validity check first — no negative amounts, no OTP on a card-present swipe, velocity_1h never exceeding velocity_24h — and anything that fails gets repaired or thrown out.</w:t>
      </w:r>
    </w:p>
    <w:tbl>
      <w:tblPr>
        <w:tblStyle w:val="LightGrid-Accent1"/>
        <w:tblW w:type="auto" w:w="0"/>
        <w:jc w:val="left"/>
        <w:tblLook w:firstColumn="1" w:firstRow="1" w:lastColumn="0" w:lastRow="0" w:noHBand="0" w:noVBand="1" w:val="04A0"/>
      </w:tblPr>
      <w:tblGrid>
        <w:gridCol w:w="4320"/>
        <w:gridCol w:w="4320"/>
      </w:tblGrid>
      <w:tr>
        <w:tc>
          <w:tcPr>
            <w:tcW w:type="dxa" w:w="4320"/>
            <w:shd w:fill="1A1F24"/>
          </w:tcPr>
          <w:p>
            <w:r>
              <w:rPr>
                <w:b/>
                <w:color w:val="FFFFFF"/>
                <w:sz w:val="19"/>
              </w:rPr>
              <w:t>Parameter</w:t>
            </w:r>
          </w:p>
        </w:tc>
        <w:tc>
          <w:tcPr>
            <w:tcW w:type="dxa" w:w="4320"/>
            <w:shd w:fill="1A1F24"/>
          </w:tcPr>
          <w:p>
            <w:r>
              <w:rPr>
                <w:b/>
                <w:color w:val="FFFFFF"/>
                <w:sz w:val="19"/>
              </w:rPr>
              <w:t>Value</w:t>
            </w:r>
          </w:p>
        </w:tc>
      </w:tr>
      <w:tr>
        <w:tc>
          <w:tcPr>
            <w:tcW w:type="dxa" w:w="4320"/>
          </w:tcPr>
          <w:p>
            <w:pPr>
              <w:spacing w:after="40"/>
            </w:pPr>
            <w:r>
              <w:rPr>
                <w:sz w:val="19"/>
              </w:rPr>
              <w:t>Population</w:t>
            </w:r>
          </w:p>
        </w:tc>
        <w:tc>
          <w:tcPr>
            <w:tcW w:type="dxa" w:w="4320"/>
          </w:tcPr>
          <w:p>
            <w:pPr>
              <w:spacing w:after="40"/>
            </w:pPr>
            <w:r>
              <w:rPr>
                <w:sz w:val="19"/>
              </w:rPr>
              <w:t>60</w:t>
            </w:r>
          </w:p>
        </w:tc>
      </w:tr>
      <w:tr>
        <w:tc>
          <w:tcPr>
            <w:tcW w:type="dxa" w:w="4320"/>
          </w:tcPr>
          <w:p>
            <w:pPr>
              <w:spacing w:after="40"/>
            </w:pPr>
            <w:r>
              <w:rPr>
                <w:sz w:val="19"/>
              </w:rPr>
              <w:t>Generations / episode</w:t>
            </w:r>
          </w:p>
        </w:tc>
        <w:tc>
          <w:tcPr>
            <w:tcW w:type="dxa" w:w="4320"/>
          </w:tcPr>
          <w:p>
            <w:pPr>
              <w:spacing w:after="40"/>
            </w:pPr>
            <w:r>
              <w:rPr>
                <w:sz w:val="19"/>
              </w:rPr>
              <w:t>15</w:t>
            </w:r>
          </w:p>
        </w:tc>
      </w:tr>
      <w:tr>
        <w:tc>
          <w:tcPr>
            <w:tcW w:type="dxa" w:w="4320"/>
          </w:tcPr>
          <w:p>
            <w:pPr>
              <w:spacing w:after="40"/>
            </w:pPr>
            <w:r>
              <w:rPr>
                <w:sz w:val="19"/>
              </w:rPr>
              <w:t>Controllable fields</w:t>
            </w:r>
          </w:p>
        </w:tc>
        <w:tc>
          <w:tcPr>
            <w:tcW w:type="dxa" w:w="4320"/>
          </w:tcPr>
          <w:p>
            <w:pPr>
              <w:spacing w:after="40"/>
            </w:pPr>
            <w:r>
              <w:rPr>
                <w:sz w:val="19"/>
              </w:rPr>
              <w:t>9 of 17</w:t>
            </w:r>
          </w:p>
        </w:tc>
      </w:tr>
      <w:tr>
        <w:tc>
          <w:tcPr>
            <w:tcW w:type="dxa" w:w="4320"/>
          </w:tcPr>
          <w:p>
            <w:pPr>
              <w:spacing w:after="40"/>
            </w:pPr>
            <w:r>
              <w:rPr>
                <w:sz w:val="19"/>
              </w:rPr>
              <w:t>Fitness signal</w:t>
            </w:r>
          </w:p>
        </w:tc>
        <w:tc>
          <w:tcPr>
            <w:tcW w:type="dxa" w:w="4320"/>
          </w:tcPr>
          <w:p>
            <w:pPr>
              <w:spacing w:after="40"/>
            </w:pPr>
            <w:r>
              <w:rPr>
                <w:sz w:val="19"/>
              </w:rPr>
              <w:t>1 − P(fraud)</w:t>
            </w:r>
          </w:p>
        </w:tc>
      </w:tr>
      <w:tr>
        <w:tc>
          <w:tcPr>
            <w:tcW w:type="dxa" w:w="4320"/>
          </w:tcPr>
          <w:p>
            <w:pPr>
              <w:spacing w:after="40"/>
            </w:pPr>
            <w:r>
              <w:rPr>
                <w:sz w:val="19"/>
              </w:rPr>
              <w:t>Repair attempts</w:t>
            </w:r>
          </w:p>
        </w:tc>
        <w:tc>
          <w:tcPr>
            <w:tcW w:type="dxa" w:w="4320"/>
          </w:tcPr>
          <w:p>
            <w:pPr>
              <w:spacing w:after="40"/>
            </w:pPr>
            <w:r>
              <w:rPr>
                <w:sz w:val="19"/>
              </w:rPr>
              <w:t>≤ 5, else discard</w:t>
            </w:r>
          </w:p>
        </w:tc>
      </w:tr>
    </w:tbl>
    <w:p/>
    <w:p>
      <w:pPr>
        <w:pStyle w:val="Heading3"/>
      </w:pPr>
      <w:r>
        <w:t>What the curve looks like in a single episode</w:t>
      </w:r>
    </w:p>
    <w:p>
      <w:r>
        <w:t>In attack episode 0, against a fixed detector and a 60-candidate population, evasion success starts at 8.3% in generation 0, reaches 70.0% by generation 2, hits 100% at generation 6, and stays there through generation 14 (results/attack_generation_curve.csv). That shape — a steady climb rather than a jump — is what tells us the search is doing the work, not the initial population getting lucky.</w:t>
      </w:r>
    </w:p>
    <w:tbl>
      <w:tblPr>
        <w:tblStyle w:val="LightGrid-Accent1"/>
        <w:tblW w:type="auto" w:w="0"/>
        <w:jc w:val="left"/>
        <w:tblLook w:firstColumn="1" w:firstRow="1" w:lastColumn="0" w:lastRow="0" w:noHBand="0" w:noVBand="1" w:val="04A0"/>
      </w:tblPr>
      <w:tblGrid>
        <w:gridCol w:w="4320"/>
        <w:gridCol w:w="4320"/>
      </w:tblGrid>
      <w:tr>
        <w:tc>
          <w:tcPr>
            <w:tcW w:type="dxa" w:w="4320"/>
            <w:shd w:fill="1A1F24"/>
          </w:tcPr>
          <w:p>
            <w:r>
              <w:rPr>
                <w:b/>
                <w:color w:val="FFFFFF"/>
                <w:sz w:val="19"/>
              </w:rPr>
              <w:t>Generation</w:t>
            </w:r>
          </w:p>
        </w:tc>
        <w:tc>
          <w:tcPr>
            <w:tcW w:type="dxa" w:w="4320"/>
            <w:shd w:fill="1A1F24"/>
          </w:tcPr>
          <w:p>
            <w:r>
              <w:rPr>
                <w:b/>
                <w:color w:val="FFFFFF"/>
                <w:sz w:val="19"/>
              </w:rPr>
              <w:t>Evasion success rate</w:t>
            </w:r>
          </w:p>
        </w:tc>
      </w:tr>
      <w:tr>
        <w:tc>
          <w:tcPr>
            <w:tcW w:type="dxa" w:w="4320"/>
          </w:tcPr>
          <w:p>
            <w:pPr>
              <w:spacing w:after="40"/>
            </w:pPr>
            <w:r>
              <w:rPr>
                <w:sz w:val="19"/>
              </w:rPr>
              <w:t>0</w:t>
            </w:r>
          </w:p>
        </w:tc>
        <w:tc>
          <w:tcPr>
            <w:tcW w:type="dxa" w:w="4320"/>
          </w:tcPr>
          <w:p>
            <w:pPr>
              <w:spacing w:after="40"/>
            </w:pPr>
            <w:r>
              <w:rPr>
                <w:sz w:val="19"/>
              </w:rPr>
              <w:t>8.3%</w:t>
            </w:r>
          </w:p>
        </w:tc>
      </w:tr>
      <w:tr>
        <w:tc>
          <w:tcPr>
            <w:tcW w:type="dxa" w:w="4320"/>
          </w:tcPr>
          <w:p>
            <w:pPr>
              <w:spacing w:after="40"/>
            </w:pPr>
            <w:r>
              <w:rPr>
                <w:sz w:val="19"/>
              </w:rPr>
              <w:t>2</w:t>
            </w:r>
          </w:p>
        </w:tc>
        <w:tc>
          <w:tcPr>
            <w:tcW w:type="dxa" w:w="4320"/>
          </w:tcPr>
          <w:p>
            <w:pPr>
              <w:spacing w:after="40"/>
            </w:pPr>
            <w:r>
              <w:rPr>
                <w:sz w:val="19"/>
              </w:rPr>
              <w:t>70.0%</w:t>
            </w:r>
          </w:p>
        </w:tc>
      </w:tr>
      <w:tr>
        <w:tc>
          <w:tcPr>
            <w:tcW w:type="dxa" w:w="4320"/>
          </w:tcPr>
          <w:p>
            <w:pPr>
              <w:spacing w:after="40"/>
            </w:pPr>
            <w:r>
              <w:rPr>
                <w:sz w:val="19"/>
              </w:rPr>
              <w:t>6</w:t>
            </w:r>
          </w:p>
        </w:tc>
        <w:tc>
          <w:tcPr>
            <w:tcW w:type="dxa" w:w="4320"/>
          </w:tcPr>
          <w:p>
            <w:pPr>
              <w:spacing w:after="40"/>
            </w:pPr>
            <w:r>
              <w:rPr>
                <w:sz w:val="19"/>
              </w:rPr>
              <w:t>100%</w:t>
            </w:r>
          </w:p>
        </w:tc>
      </w:tr>
      <w:tr>
        <w:tc>
          <w:tcPr>
            <w:tcW w:type="dxa" w:w="4320"/>
          </w:tcPr>
          <w:p>
            <w:pPr>
              <w:spacing w:after="40"/>
            </w:pPr>
            <w:r>
              <w:rPr>
                <w:sz w:val="19"/>
              </w:rPr>
              <w:t>6–14</w:t>
            </w:r>
          </w:p>
        </w:tc>
        <w:tc>
          <w:tcPr>
            <w:tcW w:type="dxa" w:w="4320"/>
          </w:tcPr>
          <w:p>
            <w:pPr>
              <w:spacing w:after="40"/>
            </w:pPr>
            <w:r>
              <w:rPr>
                <w:sz w:val="19"/>
              </w:rPr>
              <w:t>held at 100%</w:t>
            </w:r>
          </w:p>
        </w:tc>
      </w:tr>
    </w:tbl>
    <w:p/>
    <w:p>
      <w:pPr>
        <w:pStyle w:val="Heading1"/>
      </w:pPr>
      <w:r>
        <w:t>3. Defend — Three Scoring Streams</w:t>
      </w:r>
    </w:p>
    <w:p>
      <w:r>
        <w:t>Three streams score every transaction. The transaction stream is fully built out; the other two are honest v1 implementations, and we'd rather spell out what that means than let a diagram claim more than the code actually does.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shd w:fill="1A1F24"/>
          </w:tcPr>
          <w:p>
            <w:r>
              <w:rPr>
                <w:b/>
                <w:color w:val="FFFFFF"/>
                <w:sz w:val="19"/>
              </w:rPr>
              <w:t>Stream</w:t>
            </w:r>
          </w:p>
        </w:tc>
        <w:tc>
          <w:tcPr>
            <w:tcW w:type="dxa" w:w="2880"/>
            <w:shd w:fill="1A1F24"/>
          </w:tcPr>
          <w:p>
            <w:r>
              <w:rPr>
                <w:b/>
                <w:color w:val="FFFFFF"/>
                <w:sz w:val="19"/>
              </w:rPr>
              <w:t>Status</w:t>
            </w:r>
          </w:p>
        </w:tc>
        <w:tc>
          <w:tcPr>
            <w:tcW w:type="dxa" w:w="2880"/>
            <w:shd w:fill="1A1F24"/>
          </w:tcPr>
          <w:p>
            <w:r>
              <w:rPr>
                <w:b/>
                <w:color w:val="FFFFFF"/>
                <w:sz w:val="19"/>
              </w:rPr>
              <w:t>What it actually does</w:t>
            </w:r>
          </w:p>
        </w:tc>
      </w:tr>
      <w:tr>
        <w:tc>
          <w:tcPr>
            <w:tcW w:type="dxa" w:w="2880"/>
          </w:tcPr>
          <w:p>
            <w:pPr>
              <w:spacing w:after="40"/>
            </w:pPr>
            <w:r>
              <w:rPr>
                <w:sz w:val="19"/>
              </w:rPr>
              <w:t>Transaction</w:t>
            </w:r>
          </w:p>
        </w:tc>
        <w:tc>
          <w:tcPr>
            <w:tcW w:type="dxa" w:w="2880"/>
          </w:tcPr>
          <w:p>
            <w:pPr>
              <w:spacing w:after="40"/>
            </w:pPr>
            <w:r>
              <w:rPr>
                <w:sz w:val="19"/>
              </w:rPr>
              <w:t>Real</w:t>
            </w:r>
          </w:p>
        </w:tc>
        <w:tc>
          <w:tcPr>
            <w:tcW w:type="dxa" w:w="2880"/>
          </w:tcPr>
          <w:p>
            <w:pPr>
              <w:spacing w:after="40"/>
            </w:pPr>
            <w:r>
              <w:rPr>
                <w:sz w:val="19"/>
              </w:rPr>
              <w:t>LightGBM + isotonic calibration over 17 raw fields, feature-engineered to 14 model inputs. Fully trained, evaluated, latency-benchmarked.</w:t>
            </w:r>
          </w:p>
        </w:tc>
      </w:tr>
      <w:tr>
        <w:tc>
          <w:tcPr>
            <w:tcW w:type="dxa" w:w="2880"/>
          </w:tcPr>
          <w:p>
            <w:pPr>
              <w:spacing w:after="40"/>
            </w:pPr>
            <w:r>
              <w:rPr>
                <w:sz w:val="19"/>
              </w:rPr>
              <w:t>Multimodal</w:t>
            </w:r>
          </w:p>
        </w:tc>
        <w:tc>
          <w:tcPr>
            <w:tcW w:type="dxa" w:w="2880"/>
          </w:tcPr>
          <w:p>
            <w:pPr>
              <w:spacing w:after="40"/>
            </w:pPr>
            <w:r>
              <w:rPr>
                <w:sz w:val="19"/>
              </w:rPr>
              <w:t>V1</w:t>
            </w:r>
          </w:p>
        </w:tc>
        <w:tc>
          <w:tcPr>
            <w:tcW w:type="dxa" w:w="2880"/>
          </w:tcPr>
          <w:p>
            <w:pPr>
              <w:spacing w:after="40"/>
            </w:pPr>
            <w:r>
              <w:rPr>
                <w:sz w:val="19"/>
              </w:rPr>
              <w:t>Late-fusion architecture is real and fit/scored end to end. The session-risk signal it fuses is synthetic placeholder features (see disclosure below).</w:t>
            </w:r>
          </w:p>
        </w:tc>
      </w:tr>
      <w:tr>
        <w:tc>
          <w:tcPr>
            <w:tcW w:type="dxa" w:w="2880"/>
          </w:tcPr>
          <w:p>
            <w:pPr>
              <w:spacing w:after="40"/>
            </w:pPr>
            <w:r>
              <w:rPr>
                <w:sz w:val="19"/>
              </w:rPr>
              <w:t>Graph</w:t>
            </w:r>
          </w:p>
        </w:tc>
        <w:tc>
          <w:tcPr>
            <w:tcW w:type="dxa" w:w="2880"/>
          </w:tcPr>
          <w:p>
            <w:pPr>
              <w:spacing w:after="40"/>
            </w:pPr>
            <w:r>
              <w:rPr>
                <w:sz w:val="19"/>
              </w:rPr>
              <w:t>V1</w:t>
            </w:r>
          </w:p>
        </w:tc>
        <w:tc>
          <w:tcPr>
            <w:tcW w:type="dxa" w:w="2880"/>
          </w:tcPr>
          <w:p>
            <w:pPr>
              <w:spacing w:after="40"/>
            </w:pPr>
            <w:r>
              <w:rPr>
                <w:sz w:val="19"/>
              </w:rPr>
              <w:t>Fan-in/fan-out and shared-device degree counts, computed directly from the transaction table. No GNN dependency; not yet wired into the trained detector.</w:t>
            </w:r>
          </w:p>
        </w:tc>
      </w:tr>
    </w:tbl>
    <w:p/>
    <w:p>
      <w:pPr>
        <w:spacing w:before="80" w:after="240"/>
        <w:ind w:left="360"/>
      </w:pPr>
      <w:r>
        <w:rPr>
          <w:b/>
          <w:color w:val="1E8A7E"/>
        </w:rPr>
        <w:t xml:space="preserve">Disclosure: </w:t>
      </w:r>
      <w:r>
        <w:rPr>
          <w:i/>
          <w:color w:val="5B6663"/>
        </w:rPr>
        <w:t>the multimodal stream's late-fusion meta-classifier is real, working code, fit on real synthetic session-risk features. It is not currently fed by an ASVspoof or FaceForensics++ model. Wiring one in would mean adding a new heavy dependency and a licensed dataset, and neither fit inside this build window. The MultimodalScorer interface was built so that a real model can be swapped in later without changing any of its callers.</w:t>
      </w:r>
    </w:p>
    <w:p>
      <w:pPr>
        <w:pStyle w:val="Heading3"/>
      </w:pPr>
      <w:r>
        <w:t>Held-out performance, at the deployed 0.5 threshold</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shd w:fill="1A1F24"/>
          </w:tcPr>
          <w:p>
            <w:r>
              <w:rPr>
                <w:b/>
                <w:color w:val="FFFFFF"/>
                <w:sz w:val="19"/>
              </w:rPr>
              <w:t>Metric</w:t>
            </w:r>
          </w:p>
        </w:tc>
        <w:tc>
          <w:tcPr>
            <w:tcW w:type="dxa" w:w="2880"/>
            <w:shd w:fill="1A1F24"/>
          </w:tcPr>
          <w:p>
            <w:r>
              <w:rPr>
                <w:b/>
                <w:color w:val="FFFFFF"/>
                <w:sz w:val="19"/>
              </w:rPr>
              <w:t>Value</w:t>
            </w:r>
          </w:p>
        </w:tc>
        <w:tc>
          <w:tcPr>
            <w:tcW w:type="dxa" w:w="2880"/>
            <w:shd w:fill="1A1F24"/>
          </w:tcPr>
          <w:p>
            <w:r>
              <w:rPr>
                <w:b/>
                <w:color w:val="FFFFFF"/>
                <w:sz w:val="19"/>
              </w:rPr>
              <w:t>Why it's the metric that matters</w:t>
            </w:r>
          </w:p>
        </w:tc>
      </w:tr>
      <w:tr>
        <w:tc>
          <w:tcPr>
            <w:tcW w:type="dxa" w:w="2880"/>
          </w:tcPr>
          <w:p>
            <w:pPr>
              <w:spacing w:after="40"/>
            </w:pPr>
            <w:r>
              <w:rPr>
                <w:sz w:val="19"/>
              </w:rPr>
              <w:t>PR-AUC</w:t>
            </w:r>
          </w:p>
        </w:tc>
        <w:tc>
          <w:tcPr>
            <w:tcW w:type="dxa" w:w="2880"/>
          </w:tcPr>
          <w:p>
            <w:pPr>
              <w:spacing w:after="40"/>
            </w:pPr>
            <w:r>
              <w:rPr>
                <w:sz w:val="19"/>
              </w:rPr>
              <w:t>0.904</w:t>
            </w:r>
          </w:p>
        </w:tc>
        <w:tc>
          <w:tcPr>
            <w:tcW w:type="dxa" w:w="2880"/>
          </w:tcPr>
          <w:p>
            <w:pPr>
              <w:spacing w:after="40"/>
            </w:pPr>
            <w:r>
              <w:rPr>
                <w:sz w:val="19"/>
              </w:rPr>
              <w:t>Primary metric — ROC-AUC is flattering under 0.5% prevalence</w:t>
            </w:r>
          </w:p>
        </w:tc>
      </w:tr>
      <w:tr>
        <w:tc>
          <w:tcPr>
            <w:tcW w:type="dxa" w:w="2880"/>
          </w:tcPr>
          <w:p>
            <w:pPr>
              <w:spacing w:after="40"/>
            </w:pPr>
            <w:r>
              <w:rPr>
                <w:sz w:val="19"/>
              </w:rPr>
              <w:t>ROC-AUC</w:t>
            </w:r>
          </w:p>
        </w:tc>
        <w:tc>
          <w:tcPr>
            <w:tcW w:type="dxa" w:w="2880"/>
          </w:tcPr>
          <w:p>
            <w:pPr>
              <w:spacing w:after="40"/>
            </w:pPr>
            <w:r>
              <w:rPr>
                <w:sz w:val="19"/>
              </w:rPr>
              <w:t>0.989</w:t>
            </w:r>
          </w:p>
        </w:tc>
        <w:tc>
          <w:tcPr>
            <w:tcW w:type="dxa" w:w="2880"/>
          </w:tcPr>
          <w:p>
            <w:pPr>
              <w:spacing w:after="40"/>
            </w:pPr>
            <w:r>
              <w:rPr>
                <w:sz w:val="19"/>
              </w:rPr>
              <w:t>Reported for completeness, not led with</w:t>
            </w:r>
          </w:p>
        </w:tc>
      </w:tr>
      <w:tr>
        <w:tc>
          <w:tcPr>
            <w:tcW w:type="dxa" w:w="2880"/>
          </w:tcPr>
          <w:p>
            <w:pPr>
              <w:spacing w:after="40"/>
            </w:pPr>
            <w:r>
              <w:rPr>
                <w:sz w:val="19"/>
              </w:rPr>
              <w:t>Recall @ 0.1% FPR</w:t>
            </w:r>
          </w:p>
        </w:tc>
        <w:tc>
          <w:tcPr>
            <w:tcW w:type="dxa" w:w="2880"/>
          </w:tcPr>
          <w:p>
            <w:pPr>
              <w:spacing w:after="40"/>
            </w:pPr>
            <w:r>
              <w:rPr>
                <w:sz w:val="19"/>
              </w:rPr>
              <w:t>80%</w:t>
            </w:r>
          </w:p>
        </w:tc>
        <w:tc>
          <w:tcPr>
            <w:tcW w:type="dxa" w:w="2880"/>
          </w:tcPr>
          <w:p>
            <w:pPr>
              <w:spacing w:after="40"/>
            </w:pPr>
            <w:r>
              <w:rPr>
                <w:sz w:val="19"/>
              </w:rPr>
              <w:t>What a fraud desk with a near-zero false-alarm budget actually catches</w:t>
            </w:r>
          </w:p>
        </w:tc>
      </w:tr>
      <w:tr>
        <w:tc>
          <w:tcPr>
            <w:tcW w:type="dxa" w:w="2880"/>
          </w:tcPr>
          <w:p>
            <w:pPr>
              <w:spacing w:after="40"/>
            </w:pPr>
            <w:r>
              <w:rPr>
                <w:sz w:val="19"/>
              </w:rPr>
              <w:t>Recall @ 1% FPR</w:t>
            </w:r>
          </w:p>
        </w:tc>
        <w:tc>
          <w:tcPr>
            <w:tcW w:type="dxa" w:w="2880"/>
          </w:tcPr>
          <w:p>
            <w:pPr>
              <w:spacing w:after="40"/>
            </w:pPr>
            <w:r>
              <w:rPr>
                <w:sz w:val="19"/>
              </w:rPr>
              <w:t>96%</w:t>
            </w:r>
          </w:p>
        </w:tc>
        <w:tc>
          <w:tcPr>
            <w:tcW w:type="dxa" w:w="2880"/>
          </w:tcPr>
          <w:p>
            <w:pPr>
              <w:spacing w:after="40"/>
            </w:pPr>
            <w:r>
              <w:rPr>
                <w:sz w:val="19"/>
              </w:rPr>
            </w:r>
          </w:p>
        </w:tc>
      </w:tr>
      <w:tr>
        <w:tc>
          <w:tcPr>
            <w:tcW w:type="dxa" w:w="2880"/>
          </w:tcPr>
          <w:p>
            <w:pPr>
              <w:spacing w:after="40"/>
            </w:pPr>
            <w:r>
              <w:rPr>
                <w:sz w:val="19"/>
              </w:rPr>
              <w:t>Precision @ k=50</w:t>
            </w:r>
          </w:p>
        </w:tc>
        <w:tc>
          <w:tcPr>
            <w:tcW w:type="dxa" w:w="2880"/>
          </w:tcPr>
          <w:p>
            <w:pPr>
              <w:spacing w:after="40"/>
            </w:pPr>
            <w:r>
              <w:rPr>
                <w:sz w:val="19"/>
              </w:rPr>
              <w:t>80%</w:t>
            </w:r>
          </w:p>
        </w:tc>
        <w:tc>
          <w:tcPr>
            <w:tcW w:type="dxa" w:w="2880"/>
          </w:tcPr>
          <w:p>
            <w:pPr>
              <w:spacing w:after="40"/>
            </w:pPr>
            <w:r>
              <w:rPr>
                <w:sz w:val="19"/>
              </w:rPr>
              <w:t>Alert-review-budget framing — the top 50 scored transactions</w:t>
            </w:r>
          </w:p>
        </w:tc>
      </w:tr>
      <w:tr>
        <w:tc>
          <w:tcPr>
            <w:tcW w:type="dxa" w:w="2880"/>
          </w:tcPr>
          <w:p>
            <w:pPr>
              <w:spacing w:after="40"/>
            </w:pPr>
            <w:r>
              <w:rPr>
                <w:sz w:val="19"/>
              </w:rPr>
              <w:t>Brier score</w:t>
            </w:r>
          </w:p>
        </w:tc>
        <w:tc>
          <w:tcPr>
            <w:tcW w:type="dxa" w:w="2880"/>
          </w:tcPr>
          <w:p>
            <w:pPr>
              <w:spacing w:after="40"/>
            </w:pPr>
            <w:r>
              <w:rPr>
                <w:sz w:val="19"/>
              </w:rPr>
              <w:t>0.0013</w:t>
            </w:r>
          </w:p>
        </w:tc>
        <w:tc>
          <w:tcPr>
            <w:tcW w:type="dxa" w:w="2880"/>
          </w:tcPr>
          <w:p>
            <w:pPr>
              <w:spacing w:after="40"/>
            </w:pPr>
            <w:r>
              <w:rPr>
                <w:sz w:val="19"/>
              </w:rPr>
              <w:t>Calibration quality — isotonic-calibrated, so the score is a real probability</w:t>
            </w:r>
          </w:p>
        </w:tc>
      </w:tr>
      <w:tr>
        <w:tc>
          <w:tcPr>
            <w:tcW w:type="dxa" w:w="2880"/>
          </w:tcPr>
          <w:p>
            <w:pPr>
              <w:spacing w:after="40"/>
            </w:pPr>
            <w:r>
              <w:rPr>
                <w:sz w:val="19"/>
              </w:rPr>
              <w:t>p50 latency</w:t>
            </w:r>
          </w:p>
        </w:tc>
        <w:tc>
          <w:tcPr>
            <w:tcW w:type="dxa" w:w="2880"/>
          </w:tcPr>
          <w:p>
            <w:pPr>
              <w:spacing w:after="40"/>
            </w:pPr>
            <w:r>
              <w:rPr>
                <w:sz w:val="19"/>
              </w:rPr>
              <w:t>4.55 ms</w:t>
            </w:r>
          </w:p>
        </w:tc>
        <w:tc>
          <w:tcPr>
            <w:tcW w:type="dxa" w:w="2880"/>
          </w:tcPr>
          <w:p>
            <w:pPr>
              <w:spacing w:after="40"/>
            </w:pPr>
            <w:r>
              <w:rPr>
                <w:sz w:val="19"/>
              </w:rPr>
              <w:t>Single-row inference, measured, not estimated</w:t>
            </w:r>
          </w:p>
        </w:tc>
      </w:tr>
      <w:tr>
        <w:tc>
          <w:tcPr>
            <w:tcW w:type="dxa" w:w="2880"/>
          </w:tcPr>
          <w:p>
            <w:pPr>
              <w:spacing w:after="40"/>
            </w:pPr>
            <w:r>
              <w:rPr>
                <w:sz w:val="19"/>
              </w:rPr>
              <w:t>p99 latency</w:t>
            </w:r>
          </w:p>
        </w:tc>
        <w:tc>
          <w:tcPr>
            <w:tcW w:type="dxa" w:w="2880"/>
          </w:tcPr>
          <w:p>
            <w:pPr>
              <w:spacing w:after="40"/>
            </w:pPr>
            <w:r>
              <w:rPr>
                <w:sz w:val="19"/>
              </w:rPr>
              <w:t>5.74 ms</w:t>
            </w:r>
          </w:p>
        </w:tc>
        <w:tc>
          <w:tcPr>
            <w:tcW w:type="dxa" w:w="2880"/>
          </w:tcPr>
          <w:p>
            <w:pPr>
              <w:spacing w:after="40"/>
            </w:pPr>
            <w:r>
              <w:rPr>
                <w:sz w:val="19"/>
              </w:rPr>
              <w:t>Against an authorization-time budget of &lt;50ms, this is headroom</w:t>
            </w:r>
          </w:p>
        </w:tc>
      </w:tr>
    </w:tbl>
    <w:p/>
    <w:p>
      <w:pPr>
        <w:pStyle w:val="Heading1"/>
      </w:pPr>
      <w:r>
        <w:t>4. The Closed Loop — Eight Retraining Rounds</w:t>
      </w:r>
    </w:p>
    <w:p>
      <w:r>
        <w:t>Across eight rounds, the detector neither collapses under pressure nor shuts the attacker out completely. Both things being true at once is the actual finding here.</w:t>
      </w:r>
    </w:p>
    <w:p>
      <w:pPr>
        <w:spacing w:before="80" w:after="240"/>
        <w:ind w:left="360"/>
      </w:pPr>
      <w:r>
        <w:rPr>
          <w:b/>
          <w:color w:val="C83D22"/>
        </w:rPr>
        <w:t xml:space="preserve">What the numbers show: </w:t>
      </w:r>
      <w:r>
        <w:rPr>
          <w:i/>
          <w:color w:val="5B6663"/>
        </w:rPr>
        <w:t>before any evolution runs, the detector holds up well: each round opens with a success rate somewhere between 0% and 30%. But a full 15-generation evolutionary search still finds at least 80% evasion in every one of the eight rounds. Clean-set PR-AUC stays in a 0.87–0.91 band for seven of the eight rounds, so the detector isn't quietly turning into a blanket blocker to win on paper. There's one dip to 0.70 at generation 7 that we haven't root-caused, and it's left in as a flagged item rather than smoothed away. Our best guess at the cause of the persistent evasion rate is mundane: only 50 of 400–800 evaders get mined into training per round, out of a pool that starts as small as 200 original fraud examples. That reads as a mining-budget limitation, not something wrong with the architecture.</w:t>
      </w:r>
    </w:p>
    <w:p>
      <w:r>
        <w:t>Full curve: results/evasion_curve.json</w:t>
      </w:r>
    </w:p>
    <w:p>
      <w:pPr>
        <w:pStyle w:val="Heading1"/>
      </w:pPr>
      <w:r>
        <w:t>5. Fidelity — Testing Our Own Synthetic Data</w:t>
      </w:r>
    </w:p>
    <w:p>
      <w:r>
        <w:t>Two independent draws from our own generator agree with each other almost perfectly: 99.2% marginal similarity, 99.7% correlation similarity. That's a useful sanity check that the generator behaves consistently, but it says nothing about whether the underlying process resembles anything in the real world.</w:t>
      </w:r>
    </w:p>
    <w:p>
      <w:r>
        <w:t>To answer that, we downloaded PaySim, a set of 6.36 million real mobile-money transactions released under CC BY-SA 4.0, fetched under our own Kaggle credentials, and compared our synthetic amount field against its real one. The result came back at 20% similarity. We left it there rather than adjusting the generator until it looked better.</w:t>
      </w:r>
    </w:p>
    <w:p>
      <w:r>
        <w:t>Our first guess was that it was a currency-scale artifact, so we tried a log transform to correct for it. It changed nothing. That turned out to be provable rather than just observed: the Kolmogorov–Smirnov statistic our similarity metric relies on is mathematically invariant to any monotonic rescaling, so no unit conversion was ever going to move that number. That result ruled out a scale issue and pointed instead at a genuine difference in shape. PaySim's amount field is a mixture across five transaction types with very different typical values, while ours draws from a single lognormal per class.</w:t>
      </w:r>
    </w:p>
    <w:tbl>
      <w:tblPr>
        <w:tblStyle w:val="LightGrid-Accent1"/>
        <w:tblW w:type="auto" w:w="0"/>
        <w:jc w:val="left"/>
        <w:tblLook w:firstColumn="1" w:firstRow="1" w:lastColumn="0" w:lastRow="0" w:noHBand="0" w:noVBand="1" w:val="04A0"/>
      </w:tblPr>
      <w:tblGrid>
        <w:gridCol w:w="4320"/>
        <w:gridCol w:w="4320"/>
      </w:tblGrid>
      <w:tr>
        <w:tc>
          <w:tcPr>
            <w:tcW w:type="dxa" w:w="4320"/>
            <w:shd w:fill="1A1F24"/>
          </w:tcPr>
          <w:p>
            <w:r>
              <w:rPr>
                <w:b/>
                <w:color w:val="FFFFFF"/>
                <w:sz w:val="19"/>
              </w:rPr>
              <w:t>PaySim comparison, as run</w:t>
            </w:r>
          </w:p>
        </w:tc>
        <w:tc>
          <w:tcPr>
            <w:tcW w:type="dxa" w:w="4320"/>
            <w:shd w:fill="1A1F24"/>
          </w:tcPr>
          <w:p>
            <w:r>
              <w:rPr>
                <w:b/>
                <w:color w:val="FFFFFF"/>
                <w:sz w:val="19"/>
              </w:rPr>
              <w:t>Value</w:t>
            </w:r>
          </w:p>
        </w:tc>
      </w:tr>
      <w:tr>
        <w:tc>
          <w:tcPr>
            <w:tcW w:type="dxa" w:w="4320"/>
          </w:tcPr>
          <w:p>
            <w:pPr>
              <w:spacing w:after="40"/>
            </w:pPr>
            <w:r>
              <w:rPr>
                <w:sz w:val="19"/>
              </w:rPr>
              <w:t>Synthetic rows</w:t>
            </w:r>
          </w:p>
        </w:tc>
        <w:tc>
          <w:tcPr>
            <w:tcW w:type="dxa" w:w="4320"/>
          </w:tcPr>
          <w:p>
            <w:pPr>
              <w:spacing w:after="40"/>
            </w:pPr>
            <w:r>
              <w:rPr>
                <w:sz w:val="19"/>
              </w:rPr>
              <w:t>50,000</w:t>
            </w:r>
          </w:p>
        </w:tc>
      </w:tr>
      <w:tr>
        <w:tc>
          <w:tcPr>
            <w:tcW w:type="dxa" w:w="4320"/>
          </w:tcPr>
          <w:p>
            <w:pPr>
              <w:spacing w:after="40"/>
            </w:pPr>
            <w:r>
              <w:rPr>
                <w:sz w:val="19"/>
              </w:rPr>
              <w:t>Real rows (PaySim)</w:t>
            </w:r>
          </w:p>
        </w:tc>
        <w:tc>
          <w:tcPr>
            <w:tcW w:type="dxa" w:w="4320"/>
          </w:tcPr>
          <w:p>
            <w:pPr>
              <w:spacing w:after="40"/>
            </w:pPr>
            <w:r>
              <w:rPr>
                <w:sz w:val="19"/>
              </w:rPr>
              <w:t>6,362,620</w:t>
            </w:r>
          </w:p>
        </w:tc>
      </w:tr>
      <w:tr>
        <w:tc>
          <w:tcPr>
            <w:tcW w:type="dxa" w:w="4320"/>
          </w:tcPr>
          <w:p>
            <w:pPr>
              <w:spacing w:after="40"/>
            </w:pPr>
            <w:r>
              <w:rPr>
                <w:sz w:val="19"/>
              </w:rPr>
              <w:t>Marginal similarity</w:t>
            </w:r>
          </w:p>
        </w:tc>
        <w:tc>
          <w:tcPr>
            <w:tcW w:type="dxa" w:w="4320"/>
          </w:tcPr>
          <w:p>
            <w:pPr>
              <w:spacing w:after="40"/>
            </w:pPr>
            <w:r>
              <w:rPr>
                <w:sz w:val="19"/>
              </w:rPr>
              <w:t>0.203</w:t>
            </w:r>
          </w:p>
        </w:tc>
      </w:tr>
      <w:tr>
        <w:tc>
          <w:tcPr>
            <w:tcW w:type="dxa" w:w="4320"/>
          </w:tcPr>
          <w:p>
            <w:pPr>
              <w:spacing w:after="40"/>
            </w:pPr>
            <w:r>
              <w:rPr>
                <w:sz w:val="19"/>
              </w:rPr>
              <w:t>DCR privacy ratio</w:t>
            </w:r>
          </w:p>
        </w:tc>
        <w:tc>
          <w:tcPr>
            <w:tcW w:type="dxa" w:w="4320"/>
          </w:tcPr>
          <w:p>
            <w:pPr>
              <w:spacing w:after="40"/>
            </w:pPr>
            <w:r>
              <w:rPr>
                <w:sz w:val="19"/>
              </w:rPr>
              <w:t>9.11</w:t>
            </w:r>
          </w:p>
        </w:tc>
      </w:tr>
    </w:tbl>
    <w:p/>
    <w:p>
      <w:pPr>
        <w:spacing w:before="80" w:after="240"/>
        <w:ind w:left="360"/>
      </w:pPr>
      <w:r>
        <w:rPr>
          <w:b/>
          <w:color w:val="1E8A7E"/>
        </w:rPr>
        <w:t xml:space="preserve">Why include an unflattering number: </w:t>
      </w:r>
      <w:r>
        <w:rPr>
          <w:i/>
          <w:color w:val="5B6663"/>
        </w:rPr>
        <w:t>a synthetic-data pipeline that only reports fidelity numbers when they look good hasn't really been tested. Running the harder comparison and diagnosing what it means felt more useful than tuning parameters until the score improved. Separately, the DCR ratio of 9.11 (well above 1) means synthetic rows sit far closer to each other than to any individual real record, so there's no memorization risk here regardless of the shape gap above.</w:t>
      </w:r>
    </w:p>
    <w:p>
      <w:pPr>
        <w:pStyle w:val="Heading1"/>
      </w:pPr>
      <w:r>
        <w:t>6. Agentic Commerce — Mandate Verification Demo</w:t>
      </w:r>
    </w:p>
    <w:p>
      <w:r>
        <w:t>This is a minimal AP2-style flow. Intent, Cart, and Payment mandates are represented as HMAC-signed credentials and verified against our own mock payment API, never a live endpoint. One signed mandate is run through four scenarios live in the web dashboard.</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shd w:fill="1A1F24"/>
          </w:tcPr>
          <w:p>
            <w:r>
              <w:rPr>
                <w:b/>
                <w:color w:val="FFFFFF"/>
                <w:sz w:val="19"/>
              </w:rPr>
              <w:t>Scenario</w:t>
            </w:r>
          </w:p>
        </w:tc>
        <w:tc>
          <w:tcPr>
            <w:tcW w:type="dxa" w:w="2880"/>
            <w:shd w:fill="1A1F24"/>
          </w:tcPr>
          <w:p>
            <w:r>
              <w:rPr>
                <w:b/>
                <w:color w:val="FFFFFF"/>
                <w:sz w:val="19"/>
              </w:rPr>
              <w:t>Result</w:t>
            </w:r>
          </w:p>
        </w:tc>
        <w:tc>
          <w:tcPr>
            <w:tcW w:type="dxa" w:w="2880"/>
            <w:shd w:fill="1A1F24"/>
          </w:tcPr>
          <w:p>
            <w:r>
              <w:rPr>
                <w:b/>
                <w:color w:val="FFFFFF"/>
                <w:sz w:val="19"/>
              </w:rPr>
              <w:t>Why</w:t>
            </w:r>
          </w:p>
        </w:tc>
      </w:tr>
      <w:tr>
        <w:tc>
          <w:tcPr>
            <w:tcW w:type="dxa" w:w="2880"/>
          </w:tcPr>
          <w:p>
            <w:pPr>
              <w:spacing w:after="40"/>
            </w:pPr>
            <w:r>
              <w:rPr>
                <w:sz w:val="19"/>
              </w:rPr>
              <w:t>Payment in scope</w:t>
            </w:r>
          </w:p>
        </w:tc>
        <w:tc>
          <w:tcPr>
            <w:tcW w:type="dxa" w:w="2880"/>
          </w:tcPr>
          <w:p>
            <w:pPr>
              <w:spacing w:after="40"/>
            </w:pPr>
            <w:r>
              <w:rPr>
                <w:sz w:val="19"/>
              </w:rPr>
              <w:t>Authorized</w:t>
            </w:r>
          </w:p>
        </w:tc>
        <w:tc>
          <w:tcPr>
            <w:tcW w:type="dxa" w:w="2880"/>
          </w:tcPr>
          <w:p>
            <w:pPr>
              <w:spacing w:after="40"/>
            </w:pPr>
            <w:r>
              <w:rPr>
                <w:sz w:val="19"/>
              </w:rPr>
              <w:t>Amount and merchant category both inside the signed mandate's limits</w:t>
            </w:r>
          </w:p>
        </w:tc>
      </w:tr>
      <w:tr>
        <w:tc>
          <w:tcPr>
            <w:tcW w:type="dxa" w:w="2880"/>
          </w:tcPr>
          <w:p>
            <w:pPr>
              <w:spacing w:after="40"/>
            </w:pPr>
            <w:r>
              <w:rPr>
                <w:sz w:val="19"/>
              </w:rPr>
              <w:t>Replay at higher value</w:t>
            </w:r>
          </w:p>
        </w:tc>
        <w:tc>
          <w:tcPr>
            <w:tcW w:type="dxa" w:w="2880"/>
          </w:tcPr>
          <w:p>
            <w:pPr>
              <w:spacing w:after="40"/>
            </w:pPr>
            <w:r>
              <w:rPr>
                <w:sz w:val="19"/>
              </w:rPr>
              <w:t>Blocked</w:t>
            </w:r>
          </w:p>
        </w:tc>
        <w:tc>
          <w:tcPr>
            <w:tcW w:type="dxa" w:w="2880"/>
          </w:tcPr>
          <w:p>
            <w:pPr>
              <w:spacing w:after="40"/>
            </w:pPr>
            <w:r>
              <w:rPr>
                <w:sz w:val="19"/>
              </w:rPr>
              <w:t>Amount exceeds the mandate's signed cap</w:t>
            </w:r>
          </w:p>
        </w:tc>
      </w:tr>
      <w:tr>
        <w:tc>
          <w:tcPr>
            <w:tcW w:type="dxa" w:w="2880"/>
          </w:tcPr>
          <w:p>
            <w:pPr>
              <w:spacing w:after="40"/>
            </w:pPr>
            <w:r>
              <w:rPr>
                <w:sz w:val="19"/>
              </w:rPr>
              <w:t>Scope creep</w:t>
            </w:r>
          </w:p>
        </w:tc>
        <w:tc>
          <w:tcPr>
            <w:tcW w:type="dxa" w:w="2880"/>
          </w:tcPr>
          <w:p>
            <w:pPr>
              <w:spacing w:after="40"/>
            </w:pPr>
            <w:r>
              <w:rPr>
                <w:sz w:val="19"/>
              </w:rPr>
              <w:t>Blocked</w:t>
            </w:r>
          </w:p>
        </w:tc>
        <w:tc>
          <w:tcPr>
            <w:tcW w:type="dxa" w:w="2880"/>
          </w:tcPr>
          <w:p>
            <w:pPr>
              <w:spacing w:after="40"/>
            </w:pPr>
            <w:r>
              <w:rPr>
                <w:sz w:val="19"/>
              </w:rPr>
              <w:t>Merchant category falls outside the signed allow-list</w:t>
            </w:r>
          </w:p>
        </w:tc>
      </w:tr>
      <w:tr>
        <w:tc>
          <w:tcPr>
            <w:tcW w:type="dxa" w:w="2880"/>
          </w:tcPr>
          <w:p>
            <w:pPr>
              <w:spacing w:after="40"/>
            </w:pPr>
            <w:r>
              <w:rPr>
                <w:sz w:val="19"/>
              </w:rPr>
              <w:t>Tampered mandate</w:t>
            </w:r>
          </w:p>
        </w:tc>
        <w:tc>
          <w:tcPr>
            <w:tcW w:type="dxa" w:w="2880"/>
          </w:tcPr>
          <w:p>
            <w:pPr>
              <w:spacing w:after="40"/>
            </w:pPr>
            <w:r>
              <w:rPr>
                <w:sz w:val="19"/>
              </w:rPr>
              <w:t>Blocked</w:t>
            </w:r>
          </w:p>
        </w:tc>
        <w:tc>
          <w:tcPr>
            <w:tcW w:type="dxa" w:w="2880"/>
          </w:tcPr>
          <w:p>
            <w:pPr>
              <w:spacing w:after="40"/>
            </w:pPr>
            <w:r>
              <w:rPr>
                <w:sz w:val="19"/>
              </w:rPr>
              <w:t>Signature no longer matches after the amount field was altered post-signing</w:t>
            </w:r>
          </w:p>
        </w:tc>
      </w:tr>
    </w:tbl>
    <w:p/>
    <w:p>
      <w:r>
        <w:t>This directly answers taxonomy rows S4-01 (mandate forgery/replay) and S4-03 (scope creep) with a working artifact instead of a slide claim.</w:t>
      </w:r>
    </w:p>
    <w:p>
      <w:pPr>
        <w:pStyle w:val="Heading1"/>
      </w:pPr>
      <w:r>
        <w:t>7. Real-World Feasibility</w:t>
      </w:r>
    </w:p>
    <w:p>
      <w:pPr>
        <w:pStyle w:val="Heading3"/>
      </w:pPr>
      <w:r>
        <w:t>Latency budget</w:t>
      </w:r>
    </w:p>
    <w:p>
      <w:r>
        <w:t>Our measured p99 is 5.74ms, compared against an industry authorization-time reference point of roughly 50ms (this is Mastercard's own stated DI Pro target, cited as their figure, not ours). That leaves enough headroom for the multimodal and graph streams to join the pipeline later without threatening the budget.</w:t>
      </w:r>
    </w:p>
    <w:p>
      <w:pPr>
        <w:pStyle w:val="Heading3"/>
      </w:pPr>
      <w:r>
        <w:t>Message-level integration</w:t>
      </w:r>
    </w:p>
    <w:p>
      <w:r>
        <w:t>The 17-field schema maps cleanly onto ISO 8583 / ISO 20022 authorization fields, including amount, MCC, channel, and auth method. That mapping is intentional. We built our own schema specifically so this story could be told, rather than discovering after the fact that it happened to line up.</w:t>
      </w:r>
    </w:p>
    <w:p>
      <w:pPr>
        <w:pStyle w:val="Heading3"/>
      </w:pPr>
      <w:r>
        <w:t>Alert-review economics</w:t>
      </w:r>
    </w:p>
    <w:p>
      <w:r>
        <w:t>Precision at k=50 of 80% translates to four out of every five transactions in an analyst's top 50 daily alerts being real fraud. That's a number a fraud-ops lead can budget headcount against, which an abstract AUC score can't really do.</w:t>
      </w:r>
    </w:p>
    <w:p>
      <w:pPr>
        <w:pStyle w:val="Heading1"/>
      </w:pPr>
      <w:r>
        <w:t>8. Responsible AI</w:t>
      </w:r>
    </w:p>
    <w:p>
      <w:pPr>
        <w:pStyle w:val="Heading3"/>
      </w:pPr>
      <w:r>
        <w:t>Sandbox, absolutely</w:t>
      </w:r>
    </w:p>
    <w:p>
      <w:pPr>
        <w:pStyle w:val="ListBullet"/>
      </w:pPr>
      <w:r>
        <w:t>The attacker's entire target is our own in-process detector and our own localhost mock API. Nothing in this repository makes a network call to any external host at runtime.</w:t>
      </w:r>
    </w:p>
    <w:p>
      <w:pPr>
        <w:pStyle w:val="ListBullet"/>
      </w:pPr>
      <w:r>
        <w:t>Every dataset is synthetic, our own generation, or fetched under our own accepted license (PaySim, CC BY-SA 4.0). No real cardholder data, no PII, ever.</w:t>
      </w:r>
    </w:p>
    <w:p>
      <w:pPr>
        <w:pStyle w:val="Heading3"/>
      </w:pPr>
      <w:r>
        <w:t>No operational tooling</w:t>
      </w:r>
    </w:p>
    <w:p>
      <w:pPr>
        <w:pStyle w:val="ListBullet"/>
      </w:pPr>
      <w:r>
        <w:t>The attacker mutates nine numeric/categorical transaction fields. There is no scam script, phishing template, or social-engineering content anywhere in this repository — and there will not be.</w:t>
      </w:r>
    </w:p>
    <w:p>
      <w:pPr>
        <w:pStyle w:val="ListBullet"/>
      </w:pPr>
      <w:r>
        <w:t>Every third-party asset (PaySim, the AP2 concept, arXiv prior art) keeps its original license and attribution.</w:t>
      </w:r>
    </w:p>
    <w:p>
      <w:pPr>
        <w:pStyle w:val="Heading1"/>
      </w:pPr>
      <w:r>
        <w:t>9. What's Next — Named Gaps, Not Hidden Ones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shd w:fill="1A1F24"/>
          </w:tcPr>
          <w:p>
            <w:r>
              <w:rPr>
                <w:b/>
                <w:color w:val="FFFFFF"/>
                <w:sz w:val="19"/>
              </w:rPr>
              <w:t>Gap</w:t>
            </w:r>
          </w:p>
        </w:tc>
        <w:tc>
          <w:tcPr>
            <w:tcW w:type="dxa" w:w="2880"/>
            <w:shd w:fill="1A1F24"/>
          </w:tcPr>
          <w:p>
            <w:r>
              <w:rPr>
                <w:b/>
                <w:color w:val="FFFFFF"/>
                <w:sz w:val="19"/>
              </w:rPr>
              <w:t>Why it isn't closed yet</w:t>
            </w:r>
          </w:p>
        </w:tc>
        <w:tc>
          <w:tcPr>
            <w:tcW w:type="dxa" w:w="2880"/>
            <w:shd w:fill="1A1F24"/>
          </w:tcPr>
          <w:p>
            <w:r>
              <w:rPr>
                <w:b/>
                <w:color w:val="FFFFFF"/>
                <w:sz w:val="19"/>
              </w:rPr>
              <w:t>What closes it</w:t>
            </w:r>
          </w:p>
        </w:tc>
      </w:tr>
      <w:tr>
        <w:tc>
          <w:tcPr>
            <w:tcW w:type="dxa" w:w="2880"/>
          </w:tcPr>
          <w:p>
            <w:pPr>
              <w:spacing w:after="40"/>
            </w:pPr>
            <w:r>
              <w:rPr>
                <w:sz w:val="19"/>
              </w:rPr>
              <w:t>Real audio/face deepfake model</w:t>
            </w:r>
          </w:p>
        </w:tc>
        <w:tc>
          <w:tcPr>
            <w:tcW w:type="dxa" w:w="2880"/>
          </w:tcPr>
          <w:p>
            <w:pPr>
              <w:spacing w:after="40"/>
            </w:pPr>
            <w:r>
              <w:rPr>
                <w:sz w:val="19"/>
              </w:rPr>
              <w:t>Needs a new heavy dependency (torch/torchaudio) and a licensed dataset (ASVspoof, FF++) inside a fixed build window</w:t>
            </w:r>
          </w:p>
        </w:tc>
        <w:tc>
          <w:tcPr>
            <w:tcW w:type="dxa" w:w="2880"/>
          </w:tcPr>
          <w:p>
            <w:pPr>
              <w:spacing w:after="40"/>
            </w:pPr>
            <w:r>
              <w:rPr>
                <w:sz w:val="19"/>
              </w:rPr>
              <w:t>Swap into the existing MultimodalScorer interface — zero caller changes required</w:t>
            </w:r>
          </w:p>
        </w:tc>
      </w:tr>
      <w:tr>
        <w:tc>
          <w:tcPr>
            <w:tcW w:type="dxa" w:w="2880"/>
          </w:tcPr>
          <w:p>
            <w:pPr>
              <w:spacing w:after="40"/>
            </w:pPr>
            <w:r>
              <w:rPr>
                <w:sz w:val="19"/>
              </w:rPr>
              <w:t>Graph features not wired into the detector</w:t>
            </w:r>
          </w:p>
        </w:tc>
        <w:tc>
          <w:tcPr>
            <w:tcW w:type="dxa" w:w="2880"/>
          </w:tcPr>
          <w:p>
            <w:pPr>
              <w:spacing w:after="40"/>
            </w:pPr>
            <w:r>
              <w:rPr>
                <w:sz w:val="19"/>
              </w:rPr>
              <w:t>A separate retuning pass against a changed feature set, deliberately sequenced after the loop was validated</w:t>
            </w:r>
          </w:p>
        </w:tc>
        <w:tc>
          <w:tcPr>
            <w:tcW w:type="dxa" w:w="2880"/>
          </w:tcPr>
          <w:p>
            <w:pPr>
              <w:spacing w:after="40"/>
            </w:pPr>
            <w:r>
              <w:rPr>
                <w:sz w:val="19"/>
              </w:rPr>
              <w:t>StructuralGraphFeaturizer output is already shaped to append directly</w:t>
            </w:r>
          </w:p>
        </w:tc>
      </w:tr>
      <w:tr>
        <w:tc>
          <w:tcPr>
            <w:tcW w:type="dxa" w:w="2880"/>
          </w:tcPr>
          <w:p>
            <w:pPr>
              <w:spacing w:after="40"/>
            </w:pPr>
            <w:r>
              <w:rPr>
                <w:sz w:val="19"/>
              </w:rPr>
              <w:t>Generation-7 PR-AUC dip</w:t>
            </w:r>
          </w:p>
        </w:tc>
        <w:tc>
          <w:tcPr>
            <w:tcW w:type="dxa" w:w="2880"/>
          </w:tcPr>
          <w:p>
            <w:pPr>
              <w:spacing w:after="40"/>
            </w:pPr>
            <w:r>
              <w:rPr>
                <w:sz w:val="19"/>
              </w:rPr>
              <w:t>Flagged, not yet root-caused — small holdout fraud count (50 positives) is the leading suspect</w:t>
            </w:r>
          </w:p>
        </w:tc>
        <w:tc>
          <w:tcPr>
            <w:tcW w:type="dxa" w:w="2880"/>
          </w:tcPr>
          <w:p>
            <w:pPr>
              <w:spacing w:after="40"/>
            </w:pPr>
            <w:r>
              <w:rPr>
                <w:sz w:val="19"/>
              </w:rPr>
              <w:t>Repeat at larger n_rows; isolate whether it's variance or a real regression</w:t>
            </w:r>
          </w:p>
        </w:tc>
      </w:tr>
      <w:tr>
        <w:tc>
          <w:tcPr>
            <w:tcW w:type="dxa" w:w="2880"/>
          </w:tcPr>
          <w:p>
            <w:pPr>
              <w:spacing w:after="40"/>
            </w:pPr>
            <w:r>
              <w:rPr>
                <w:sz w:val="19"/>
              </w:rPr>
              <w:t>PaySim amount-shape divergence</w:t>
            </w:r>
          </w:p>
        </w:tc>
        <w:tc>
          <w:tcPr>
            <w:tcW w:type="dxa" w:w="2880"/>
          </w:tcPr>
          <w:p>
            <w:pPr>
              <w:spacing w:after="40"/>
            </w:pPr>
            <w:r>
              <w:rPr>
                <w:sz w:val="19"/>
              </w:rPr>
              <w:t>Closing it means modeling PaySim's five-transaction-type mixture, a generator redesign, not a config tweak</w:t>
            </w:r>
          </w:p>
        </w:tc>
        <w:tc>
          <w:tcPr>
            <w:tcW w:type="dxa" w:w="2880"/>
          </w:tcPr>
          <w:p>
            <w:pPr>
              <w:spacing w:after="40"/>
            </w:pPr>
            <w:r>
              <w:rPr>
                <w:sz w:val="19"/>
              </w:rPr>
              <w:t>Per-channel lognormal parameters, next pass</w:t>
            </w:r>
          </w:p>
        </w:tc>
      </w:tr>
    </w:tbl>
    <w:p/>
    <w:p>
      <w:pPr>
        <w:pStyle w:val="Heading1"/>
      </w:pPr>
      <w:r>
        <w:t>Closing</w:t>
      </w:r>
    </w:p>
    <w:p>
      <w:r>
        <w:t>This project runs on 37 passing tests and a single seed that produces byte-identical output across independent runs, which is how every number in this document can be checked rather than taken on faith. The fidelity section told us something we didn't expect to hear, and we tried to explain why instead of leaving it out. That's what we're actually asking to be judged on.</w:t>
      </w:r>
    </w:p>
    <w:p/>
    <w:p>
      <w:pPr>
        <w:jc w:val="center"/>
      </w:pPr>
      <w:r>
        <w:rPr>
          <w:i/>
          <w:color w:val="5B6663"/>
          <w:sz w:val="19"/>
        </w:rPr>
        <w:t>Team JNR — Rohith R (Lead) · Jayashre · Nidhi Gummaraju</w:t>
        <w:br/>
        <w:t>Mastercard Innovation Challenge @ GFF 2026</w:t>
        <w:br/>
        <w:t>See README.md, ETHICS.md, and identify/taxonomy.yaml in the project repository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color w:val="0A0E1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0A0E12"/>
      <w:sz w:val="52"/>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Calibri" w:hAnsi="Calibri"/>
      <w:b/>
      <w:bCs/>
      <w:color w:val="0A0E12"/>
      <w:sz w:val="36"/>
      <w:szCs w:val="26"/>
    </w:rPr>
  </w:style>
  <w:style w:type="paragraph" w:styleId="Heading3">
    <w:name w:val="heading 3"/>
    <w:basedOn w:val="Normal"/>
    <w:next w:val="Normal"/>
    <w:link w:val="Heading3Char"/>
    <w:uiPriority w:val="9"/>
    <w:unhideWhenUsed/>
    <w:qFormat/>
    <w:rsid w:val="00FC693F"/>
    <w:pPr>
      <w:keepNext/>
      <w:keepLines/>
      <w:spacing w:before="280" w:after="160"/>
      <w:outlineLvl w:val="2"/>
    </w:pPr>
    <w:rPr>
      <w:rFonts w:asciiTheme="majorHAnsi" w:eastAsiaTheme="majorEastAsia" w:hAnsiTheme="majorHAnsi" w:cstheme="majorBidi" w:ascii="Calibri" w:hAnsi="Calibri"/>
      <w:b/>
      <w:bCs/>
      <w:color w:val="C83D22"/>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