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0F1117"/>
          <w:sz w:val="52"/>
          <w:szCs w:val="52"/>
        </w:rPr>
        <w:t xml:space="preserve">My Eval Philosophy</w:t>
      </w:r>
    </w:p>
    <w:p>
      <w:pPr>
        <w:spacing w:after="80" w:before="0"/>
      </w:pPr>
      <w:r>
        <w:rPr>
          <w:rFonts w:ascii="Arial" w:cs="Arial" w:eastAsia="Arial" w:hAnsi="Arial"/>
          <w:color w:val="6B6965"/>
          <w:sz w:val="24"/>
          <w:szCs w:val="24"/>
        </w:rPr>
        <w:t xml:space="preserve">How I think about testing AI systems · Ph 224/225 Week 5</w:t>
      </w:r>
    </w:p>
    <w:p>
      <w:pPr>
        <w:spacing w:after="280" w:before="0"/>
      </w:pPr>
      <w:r>
        <w:rPr>
          <w:rFonts w:ascii="Arial" w:cs="Arial" w:eastAsia="Arial" w:hAnsi="Arial"/>
          <w:color w:val="0F6E56"/>
          <w:sz w:val="20"/>
          <w:szCs w:val="20"/>
        </w:rPr>
        <w:t xml:space="preserve">April 2026</w:t>
      </w:r>
      <w:r>
        <w:rPr>
          <w:rFonts w:ascii="Arial" w:cs="Arial" w:eastAsia="Arial" w:hAnsi="Arial"/>
          <w:color w:val="E4E2DB"/>
          <w:sz w:val="20"/>
          <w:szCs w:val="20"/>
        </w:rPr>
        <w:t xml:space="preserve">   |   </w:t>
      </w:r>
      <w:r>
        <w:rPr>
          <w:rFonts w:ascii="Arial" w:cs="Arial" w:eastAsia="Arial" w:hAnsi="Arial"/>
          <w:color w:val="6B6965"/>
          <w:sz w:val="20"/>
          <w:szCs w:val="20"/>
        </w:rPr>
        <w:t xml:space="preserve">Research Assistant · RAG Pipeline · LlamaIndex</w:t>
      </w:r>
    </w:p>
    <w:p>
      <w:pPr>
        <w:pBdr>
          <w:bottom w:val="single" w:color="E4E2DB" w:sz="2" w:space="1"/>
        </w:pBdr>
        <w:spacing w:after="200" w:before="200"/>
      </w:pPr>
    </w:p>
    <w:p>
      <w:pPr>
        <w:pBdr>
          <w:left w:val="single" w:color="1D9E75" w:sz="12" w:space="12"/>
        </w:pBdr>
        <w:spacing w:after="160" w:before="160"/>
        <w:ind w:left="720" w:right="720"/>
      </w:pPr>
      <w:r>
        <w:rPr>
          <w:rFonts w:ascii="Arial" w:cs="Arial" w:eastAsia="Arial" w:hAnsi="Arial"/>
          <w:color w:val="0F6E56"/>
          <w:sz w:val="20"/>
          <w:szCs w:val="20"/>
        </w:rPr>
        <w:t xml:space="preserve">This document captures my working philosophy on evaluating AI systems — what I learned building a research assistant this week, why most evals fail, and the principles I now apply before writing a single test case.</w:t>
      </w:r>
    </w:p>
    <w:p>
      <w:pPr>
        <w:spacing w:after="0" w:before="200"/>
      </w:pPr>
    </w:p>
    <w:p>
      <w:pPr>
        <w:pStyle w:val="Heading1"/>
        <w:pBdr>
          <w:bottom w:val="single" w:color="1D9E75" w:sz="4" w:space="6"/>
        </w:pBdr>
        <w:spacing w:after="160" w:before="320"/>
      </w:pPr>
      <w:r>
        <w:rPr>
          <w:rFonts w:ascii="Arial" w:cs="Arial" w:eastAsia="Arial" w:hAnsi="Arial"/>
          <w:b/>
          <w:bCs/>
          <w:color w:val="0F1117"/>
          <w:sz w:val="32"/>
          <w:szCs w:val="32"/>
        </w:rPr>
        <w:t xml:space="preserve">1. Why evaluation matters more than the model</w:t>
      </w:r>
    </w:p>
    <w:p>
      <w:pPr>
        <w:spacing w:after="120" w:before="0"/>
      </w:pPr>
      <w:r>
        <w:rPr>
          <w:rFonts w:ascii="Arial" w:cs="Arial" w:eastAsia="Arial" w:hAnsi="Arial"/>
          <w:color w:val="0F1117"/>
          <w:sz w:val="22"/>
          <w:szCs w:val="22"/>
        </w:rPr>
        <w:t xml:space="preserve">A model is a black box. An eval suite is a window into it. Without rigorous, thoughtful evaluation you cannot distinguish a system that is genuinely improving from one that is getting better at fooling you — and with LLMs, the line between those two is genuinely blurry.</w:t>
      </w:r>
    </w:p>
    <w:p>
      <w:pPr>
        <w:spacing w:after="0" w:before="80"/>
      </w:pPr>
    </w:p>
    <w:p>
      <w:pPr>
        <w:spacing w:after="120" w:before="0"/>
      </w:pPr>
      <w:r>
        <w:rPr>
          <w:rFonts w:ascii="Arial" w:cs="Arial" w:eastAsia="Arial" w:hAnsi="Arial"/>
          <w:color w:val="0F1117"/>
          <w:sz w:val="22"/>
          <w:szCs w:val="22"/>
        </w:rPr>
        <w:t xml:space="preserve">Three things I learned this week that crystallised this view:</w:t>
      </w:r>
    </w:p>
    <w:p>
      <w:pPr>
        <w:spacing w:after="0" w:before="60"/>
      </w:pPr>
    </w:p>
    <w:p>
      <w:pPr>
        <w:pStyle w:val="ListParagraph"/>
        <w:numPr>
          <w:ilvl w:val="0"/>
          <w:numId w:val="2"/>
        </w:numPr>
        <w:spacing w:after="80"/>
      </w:pPr>
      <w:r>
        <w:rPr>
          <w:rFonts w:ascii="Arial" w:cs="Arial" w:eastAsia="Arial" w:hAnsi="Arial"/>
          <w:b w:val="false"/>
          <w:bCs w:val="false"/>
          <w:color w:val="0F1117"/>
          <w:sz w:val="22"/>
          <w:szCs w:val="22"/>
        </w:rPr>
        <w:t xml:space="preserve">The research assistant passed manual inspection on three of five queries but failed 40% of automated checks. Manual review is biased toward plausible-sounding output; automated checks are biased toward catching structural failures. Both are necessary.</w:t>
      </w:r>
    </w:p>
    <w:p>
      <w:pPr>
        <w:pStyle w:val="ListParagraph"/>
        <w:numPr>
          <w:ilvl w:val="0"/>
          <w:numId w:val="2"/>
        </w:numPr>
        <w:spacing w:after="80"/>
      </w:pPr>
      <w:r>
        <w:rPr>
          <w:rFonts w:ascii="Arial" w:cs="Arial" w:eastAsia="Arial" w:hAnsi="Arial"/>
          <w:b w:val="false"/>
          <w:bCs w:val="false"/>
          <w:color w:val="0F1117"/>
          <w:sz w:val="22"/>
          <w:szCs w:val="22"/>
        </w:rPr>
        <w:t xml:space="preserve">A system that retrieves three documents and cites none of them is worse than one that retrieves one document and cites it correctly. Evals must measure behaviour, not just output quality.</w:t>
      </w:r>
    </w:p>
    <w:p>
      <w:pPr>
        <w:pStyle w:val="ListParagraph"/>
        <w:numPr>
          <w:ilvl w:val="0"/>
          <w:numId w:val="2"/>
        </w:numPr>
        <w:spacing w:after="80"/>
      </w:pPr>
      <w:r>
        <w:rPr>
          <w:rFonts w:ascii="Arial" w:cs="Arial" w:eastAsia="Arial" w:hAnsi="Arial"/>
          <w:b w:val="false"/>
          <w:bCs w:val="false"/>
          <w:color w:val="0F1117"/>
          <w:sz w:val="22"/>
          <w:szCs w:val="22"/>
        </w:rPr>
        <w:t xml:space="preserve">The 80% threshold is a design choice, not a law. Choosing 80% says: we expect some failures; we care more about shipping than perfection. That is a legitimate position. But it must be made consciously, with documented reasoning.</w:t>
      </w:r>
    </w:p>
    <w:p>
      <w:pPr>
        <w:spacing w:after="0" w:before="120"/>
      </w:pPr>
    </w:p>
    <w:p>
      <w:pPr>
        <w:pStyle w:val="Heading1"/>
        <w:pBdr>
          <w:bottom w:val="single" w:color="1D9E75" w:sz="4" w:space="6"/>
        </w:pBdr>
        <w:spacing w:after="160" w:before="320"/>
      </w:pPr>
      <w:r>
        <w:rPr>
          <w:rFonts w:ascii="Arial" w:cs="Arial" w:eastAsia="Arial" w:hAnsi="Arial"/>
          <w:b/>
          <w:bCs/>
          <w:color w:val="0F1117"/>
          <w:sz w:val="32"/>
          <w:szCs w:val="32"/>
        </w:rPr>
        <w:t xml:space="preserve">2. Core principles</w:t>
      </w:r>
    </w:p>
    <w:p>
      <w:pPr>
        <w:spacing w:after="120" w:before="0"/>
      </w:pPr>
      <w:r>
        <w:rPr>
          <w:rFonts w:ascii="Arial" w:cs="Arial" w:eastAsia="Arial" w:hAnsi="Arial"/>
          <w:color w:val="0F1117"/>
          <w:sz w:val="22"/>
          <w:szCs w:val="22"/>
        </w:rPr>
        <w:t xml:space="preserve">These are the principles I now apply when designing any eval suite for an AI system.</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4E2DB" w:sz="1"/>
              <w:left w:val="single" w:color="E4E2DB" w:sz="1"/>
              <w:bottom w:val="single" w:color="E4E2DB" w:sz="1"/>
              <w:right w:val="single" w:color="E4E2DB" w:sz="1"/>
            </w:tcBorders>
            <w:shd w:fill="E8F5EF" w:val="clear"/>
            <w:tcMar>
              <w:top w:type="dxa" w:w="120"/>
              <w:left w:type="dxa" w:w="160"/>
              <w:bottom w:type="dxa" w:w="120"/>
              <w:right w:type="dxa" w:w="160"/>
            </w:tcMar>
            <w:vAlign w:val="center"/>
          </w:tcPr>
          <w:p>
            <w:pPr>
              <w:jc w:val="center"/>
            </w:pPr>
            <w:r>
              <w:rPr>
                <w:rFonts w:ascii="Arial" w:cs="Arial" w:eastAsia="Arial" w:hAnsi="Arial"/>
                <w:b/>
                <w:bCs/>
                <w:color w:val="0F6E56"/>
                <w:sz w:val="28"/>
                <w:szCs w:val="28"/>
              </w:rPr>
              <w:t xml:space="preserve">P1</w:t>
            </w:r>
          </w:p>
        </w:tc>
        <w:tc>
          <w:tcPr>
            <w:tcW w:type="dxa" w:w="7560"/>
            <w:tcBorders>
              <w:top w:val="single" w:color="E4E2DB" w:sz="1"/>
              <w:left w:val="single" w:color="E4E2DB" w:sz="1"/>
              <w:bottom w:val="single" w:color="E4E2DB" w:sz="1"/>
              <w:right w:val="single" w:color="E4E2DB" w:sz="1"/>
            </w:tcBorders>
            <w:shd w:fill="FFFFFF" w:val="clear"/>
            <w:tcMar>
              <w:top w:type="dxa" w:w="100"/>
              <w:left w:type="dxa" w:w="200"/>
              <w:bottom w:type="dxa" w:w="100"/>
              <w:right w:type="dxa" w:w="160"/>
            </w:tcMar>
          </w:tcPr>
          <w:p>
            <w:r>
              <w:rPr>
                <w:rFonts w:ascii="Arial" w:cs="Arial" w:eastAsia="Arial" w:hAnsi="Arial"/>
                <w:color w:val="0F1117"/>
                <w:sz w:val="22"/>
                <w:szCs w:val="22"/>
              </w:rPr>
              <w:t xml:space="preserve">Evals must test behaviour, not vibes. Every check must be falsifiable — either the output contains [1] or it does not. Impressionistic quality scores compound human bias and should be used only when no structural proxy is available.</w:t>
            </w:r>
          </w:p>
        </w:tc>
      </w:tr>
      <w:tr>
        <w:tc>
          <w:tcPr>
            <w:tcW w:type="dxa" w:w="1800"/>
            <w:tcBorders>
              <w:top w:val="single" w:color="E4E2DB" w:sz="1"/>
              <w:left w:val="single" w:color="E4E2DB" w:sz="1"/>
              <w:bottom w:val="single" w:color="E4E2DB" w:sz="1"/>
              <w:right w:val="single" w:color="E4E2DB" w:sz="1"/>
            </w:tcBorders>
            <w:shd w:fill="E8F5EF" w:val="clear"/>
            <w:tcMar>
              <w:top w:type="dxa" w:w="120"/>
              <w:left w:type="dxa" w:w="160"/>
              <w:bottom w:type="dxa" w:w="120"/>
              <w:right w:type="dxa" w:w="160"/>
            </w:tcMar>
            <w:vAlign w:val="center"/>
          </w:tcPr>
          <w:p>
            <w:pPr>
              <w:jc w:val="center"/>
            </w:pPr>
            <w:r>
              <w:rPr>
                <w:rFonts w:ascii="Arial" w:cs="Arial" w:eastAsia="Arial" w:hAnsi="Arial"/>
                <w:b/>
                <w:bCs/>
                <w:color w:val="0F6E56"/>
                <w:sz w:val="28"/>
                <w:szCs w:val="28"/>
              </w:rPr>
              <w:t xml:space="preserve">P2</w:t>
            </w:r>
          </w:p>
        </w:tc>
        <w:tc>
          <w:tcPr>
            <w:tcW w:type="dxa" w:w="7560"/>
            <w:tcBorders>
              <w:top w:val="single" w:color="E4E2DB" w:sz="1"/>
              <w:left w:val="single" w:color="E4E2DB" w:sz="1"/>
              <w:bottom w:val="single" w:color="E4E2DB" w:sz="1"/>
              <w:right w:val="single" w:color="E4E2DB" w:sz="1"/>
            </w:tcBorders>
            <w:shd w:fill="FAFAF8" w:val="clear"/>
            <w:tcMar>
              <w:top w:type="dxa" w:w="100"/>
              <w:left w:type="dxa" w:w="200"/>
              <w:bottom w:type="dxa" w:w="100"/>
              <w:right w:type="dxa" w:w="160"/>
            </w:tcMar>
          </w:tcPr>
          <w:p>
            <w:r>
              <w:rPr>
                <w:rFonts w:ascii="Arial" w:cs="Arial" w:eastAsia="Arial" w:hAnsi="Arial"/>
                <w:color w:val="0F1117"/>
                <w:sz w:val="22"/>
                <w:szCs w:val="22"/>
              </w:rPr>
              <w:t xml:space="preserve">Separate retrieval evals from generation evals. A RAG system can fail at retrieval (wrong docs) or generation (wrong answer given right docs). A single end-to-end score masks which stage broke.</w:t>
            </w:r>
          </w:p>
        </w:tc>
      </w:tr>
      <w:tr>
        <w:tc>
          <w:tcPr>
            <w:tcW w:type="dxa" w:w="1800"/>
            <w:tcBorders>
              <w:top w:val="single" w:color="E4E2DB" w:sz="1"/>
              <w:left w:val="single" w:color="E4E2DB" w:sz="1"/>
              <w:bottom w:val="single" w:color="E4E2DB" w:sz="1"/>
              <w:right w:val="single" w:color="E4E2DB" w:sz="1"/>
            </w:tcBorders>
            <w:shd w:fill="E8F5EF" w:val="clear"/>
            <w:tcMar>
              <w:top w:type="dxa" w:w="120"/>
              <w:left w:type="dxa" w:w="160"/>
              <w:bottom w:type="dxa" w:w="120"/>
              <w:right w:type="dxa" w:w="160"/>
            </w:tcMar>
            <w:vAlign w:val="center"/>
          </w:tcPr>
          <w:p>
            <w:pPr>
              <w:jc w:val="center"/>
            </w:pPr>
            <w:r>
              <w:rPr>
                <w:rFonts w:ascii="Arial" w:cs="Arial" w:eastAsia="Arial" w:hAnsi="Arial"/>
                <w:b/>
                <w:bCs/>
                <w:color w:val="0F6E56"/>
                <w:sz w:val="28"/>
                <w:szCs w:val="28"/>
              </w:rPr>
              <w:t xml:space="preserve">P3</w:t>
            </w:r>
          </w:p>
        </w:tc>
        <w:tc>
          <w:tcPr>
            <w:tcW w:type="dxa" w:w="7560"/>
            <w:tcBorders>
              <w:top w:val="single" w:color="E4E2DB" w:sz="1"/>
              <w:left w:val="single" w:color="E4E2DB" w:sz="1"/>
              <w:bottom w:val="single" w:color="E4E2DB" w:sz="1"/>
              <w:right w:val="single" w:color="E4E2DB" w:sz="1"/>
            </w:tcBorders>
            <w:shd w:fill="FFFFFF" w:val="clear"/>
            <w:tcMar>
              <w:top w:type="dxa" w:w="100"/>
              <w:left w:type="dxa" w:w="200"/>
              <w:bottom w:type="dxa" w:w="100"/>
              <w:right w:type="dxa" w:w="160"/>
            </w:tcMar>
          </w:tcPr>
          <w:p>
            <w:r>
              <w:rPr>
                <w:rFonts w:ascii="Arial" w:cs="Arial" w:eastAsia="Arial" w:hAnsi="Arial"/>
                <w:color w:val="0F1117"/>
                <w:sz w:val="22"/>
                <w:szCs w:val="22"/>
              </w:rPr>
              <w:t xml:space="preserve">The threshold is a contract. Choosing 80% means: four failures in twenty is acceptable. Document this choice. Revisit it each sprint. A rising threshold should track rising user expectations.</w:t>
            </w:r>
          </w:p>
        </w:tc>
      </w:tr>
      <w:tr>
        <w:tc>
          <w:tcPr>
            <w:tcW w:type="dxa" w:w="1800"/>
            <w:tcBorders>
              <w:top w:val="single" w:color="E4E2DB" w:sz="1"/>
              <w:left w:val="single" w:color="E4E2DB" w:sz="1"/>
              <w:bottom w:val="single" w:color="E4E2DB" w:sz="1"/>
              <w:right w:val="single" w:color="E4E2DB" w:sz="1"/>
            </w:tcBorders>
            <w:shd w:fill="E8F5EF" w:val="clear"/>
            <w:tcMar>
              <w:top w:type="dxa" w:w="120"/>
              <w:left w:type="dxa" w:w="160"/>
              <w:bottom w:type="dxa" w:w="120"/>
              <w:right w:type="dxa" w:w="160"/>
            </w:tcMar>
            <w:vAlign w:val="center"/>
          </w:tcPr>
          <w:p>
            <w:pPr>
              <w:jc w:val="center"/>
            </w:pPr>
            <w:r>
              <w:rPr>
                <w:rFonts w:ascii="Arial" w:cs="Arial" w:eastAsia="Arial" w:hAnsi="Arial"/>
                <w:b/>
                <w:bCs/>
                <w:color w:val="0F6E56"/>
                <w:sz w:val="28"/>
                <w:szCs w:val="28"/>
              </w:rPr>
              <w:t xml:space="preserve">P4</w:t>
            </w:r>
          </w:p>
        </w:tc>
        <w:tc>
          <w:tcPr>
            <w:tcW w:type="dxa" w:w="7560"/>
            <w:tcBorders>
              <w:top w:val="single" w:color="E4E2DB" w:sz="1"/>
              <w:left w:val="single" w:color="E4E2DB" w:sz="1"/>
              <w:bottom w:val="single" w:color="E4E2DB" w:sz="1"/>
              <w:right w:val="single" w:color="E4E2DB" w:sz="1"/>
            </w:tcBorders>
            <w:shd w:fill="FAFAF8" w:val="clear"/>
            <w:tcMar>
              <w:top w:type="dxa" w:w="100"/>
              <w:left w:type="dxa" w:w="200"/>
              <w:bottom w:type="dxa" w:w="100"/>
              <w:right w:type="dxa" w:w="160"/>
            </w:tcMar>
          </w:tcPr>
          <w:p>
            <w:r>
              <w:rPr>
                <w:rFonts w:ascii="Arial" w:cs="Arial" w:eastAsia="Arial" w:hAnsi="Arial"/>
                <w:color w:val="0F1117"/>
                <w:sz w:val="22"/>
                <w:szCs w:val="22"/>
              </w:rPr>
              <w:t xml:space="preserve">Evals must cover the failure modes you care about, not the ones that are easy to test. Citations are easy to regex. Hallucination is hard. Both matter. Weight accordingly.</w:t>
            </w:r>
          </w:p>
        </w:tc>
      </w:tr>
      <w:tr>
        <w:tc>
          <w:tcPr>
            <w:tcW w:type="dxa" w:w="1800"/>
            <w:tcBorders>
              <w:top w:val="single" w:color="E4E2DB" w:sz="1"/>
              <w:left w:val="single" w:color="E4E2DB" w:sz="1"/>
              <w:bottom w:val="single" w:color="E4E2DB" w:sz="1"/>
              <w:right w:val="single" w:color="E4E2DB" w:sz="1"/>
            </w:tcBorders>
            <w:shd w:fill="E8F5EF" w:val="clear"/>
            <w:tcMar>
              <w:top w:type="dxa" w:w="120"/>
              <w:left w:type="dxa" w:w="160"/>
              <w:bottom w:type="dxa" w:w="120"/>
              <w:right w:type="dxa" w:w="160"/>
            </w:tcMar>
            <w:vAlign w:val="center"/>
          </w:tcPr>
          <w:p>
            <w:pPr>
              <w:jc w:val="center"/>
            </w:pPr>
            <w:r>
              <w:rPr>
                <w:rFonts w:ascii="Arial" w:cs="Arial" w:eastAsia="Arial" w:hAnsi="Arial"/>
                <w:b/>
                <w:bCs/>
                <w:color w:val="0F6E56"/>
                <w:sz w:val="28"/>
                <w:szCs w:val="28"/>
              </w:rPr>
              <w:t xml:space="preserve">P5</w:t>
            </w:r>
          </w:p>
        </w:tc>
        <w:tc>
          <w:tcPr>
            <w:tcW w:type="dxa" w:w="7560"/>
            <w:tcBorders>
              <w:top w:val="single" w:color="E4E2DB" w:sz="1"/>
              <w:left w:val="single" w:color="E4E2DB" w:sz="1"/>
              <w:bottom w:val="single" w:color="E4E2DB" w:sz="1"/>
              <w:right w:val="single" w:color="E4E2DB" w:sz="1"/>
            </w:tcBorders>
            <w:shd w:fill="FFFFFF" w:val="clear"/>
            <w:tcMar>
              <w:top w:type="dxa" w:w="100"/>
              <w:left w:type="dxa" w:w="200"/>
              <w:bottom w:type="dxa" w:w="100"/>
              <w:right w:type="dxa" w:w="160"/>
            </w:tcMar>
          </w:tcPr>
          <w:p>
            <w:r>
              <w:rPr>
                <w:rFonts w:ascii="Arial" w:cs="Arial" w:eastAsia="Arial" w:hAnsi="Arial"/>
                <w:color w:val="0F1117"/>
                <w:sz w:val="22"/>
                <w:szCs w:val="22"/>
              </w:rPr>
              <w:t xml:space="preserve">One regression test per production bug. Every time the system fails in the wild, write a test that would have caught it. This is how the suite accrues signal over time.</w:t>
            </w:r>
          </w:p>
        </w:tc>
      </w:tr>
      <w:tr>
        <w:tc>
          <w:tcPr>
            <w:tcW w:type="dxa" w:w="1800"/>
            <w:tcBorders>
              <w:top w:val="single" w:color="E4E2DB" w:sz="1"/>
              <w:left w:val="single" w:color="E4E2DB" w:sz="1"/>
              <w:bottom w:val="single" w:color="E4E2DB" w:sz="1"/>
              <w:right w:val="single" w:color="E4E2DB" w:sz="1"/>
            </w:tcBorders>
            <w:shd w:fill="E8F5EF" w:val="clear"/>
            <w:tcMar>
              <w:top w:type="dxa" w:w="120"/>
              <w:left w:type="dxa" w:w="160"/>
              <w:bottom w:type="dxa" w:w="120"/>
              <w:right w:type="dxa" w:w="160"/>
            </w:tcMar>
            <w:vAlign w:val="center"/>
          </w:tcPr>
          <w:p>
            <w:pPr>
              <w:jc w:val="center"/>
            </w:pPr>
            <w:r>
              <w:rPr>
                <w:rFonts w:ascii="Arial" w:cs="Arial" w:eastAsia="Arial" w:hAnsi="Arial"/>
                <w:b/>
                <w:bCs/>
                <w:color w:val="0F6E56"/>
                <w:sz w:val="28"/>
                <w:szCs w:val="28"/>
              </w:rPr>
              <w:t xml:space="preserve">P6</w:t>
            </w:r>
          </w:p>
        </w:tc>
        <w:tc>
          <w:tcPr>
            <w:tcW w:type="dxa" w:w="7560"/>
            <w:tcBorders>
              <w:top w:val="single" w:color="E4E2DB" w:sz="1"/>
              <w:left w:val="single" w:color="E4E2DB" w:sz="1"/>
              <w:bottom w:val="single" w:color="E4E2DB" w:sz="1"/>
              <w:right w:val="single" w:color="E4E2DB" w:sz="1"/>
            </w:tcBorders>
            <w:shd w:fill="FAFAF8" w:val="clear"/>
            <w:tcMar>
              <w:top w:type="dxa" w:w="100"/>
              <w:left w:type="dxa" w:w="200"/>
              <w:bottom w:type="dxa" w:w="100"/>
              <w:right w:type="dxa" w:w="160"/>
            </w:tcMar>
          </w:tcPr>
          <w:p>
            <w:r>
              <w:rPr>
                <w:rFonts w:ascii="Arial" w:cs="Arial" w:eastAsia="Arial" w:hAnsi="Arial"/>
                <w:color w:val="0F1117"/>
                <w:sz w:val="22"/>
                <w:szCs w:val="22"/>
              </w:rPr>
              <w:t xml:space="preserve">LLM-as-judge is a tool, not an oracle. Claude scoring Claude conflates judge quality with system quality. Use it for criteria that are genuinely hard to operationalise structurally, and calibrate against human labels first.</w:t>
            </w:r>
          </w:p>
        </w:tc>
      </w:tr>
    </w:tbl>
    <w:p>
      <w:pPr>
        <w:spacing w:after="0" w:before="200"/>
      </w:pPr>
    </w:p>
    <w:p>
      <w:pPr>
        <w:pStyle w:val="Heading1"/>
        <w:pBdr>
          <w:bottom w:val="single" w:color="1D9E75" w:sz="4" w:space="6"/>
        </w:pBdr>
        <w:spacing w:after="160" w:before="320"/>
      </w:pPr>
      <w:r>
        <w:rPr>
          <w:rFonts w:ascii="Arial" w:cs="Arial" w:eastAsia="Arial" w:hAnsi="Arial"/>
          <w:b/>
          <w:bCs/>
          <w:color w:val="0F1117"/>
          <w:sz w:val="32"/>
          <w:szCs w:val="32"/>
        </w:rPr>
        <w:t xml:space="preserve">3. What I actually built and what it measured</w:t>
      </w:r>
    </w:p>
    <w:p>
      <w:pPr>
        <w:pStyle w:val="Heading2"/>
        <w:spacing w:after="120" w:before="280"/>
      </w:pPr>
      <w:r>
        <w:rPr>
          <w:rFonts w:ascii="Arial" w:cs="Arial" w:eastAsia="Arial" w:hAnsi="Arial"/>
          <w:b/>
          <w:bCs/>
          <w:color w:val="0F6E56"/>
          <w:sz w:val="26"/>
          <w:szCs w:val="26"/>
        </w:rPr>
        <w:t xml:space="preserve">3.1  The research assistant</w:t>
      </w:r>
    </w:p>
    <w:p>
      <w:pPr>
        <w:spacing w:after="120" w:before="0"/>
      </w:pPr>
      <w:r>
        <w:rPr>
          <w:rFonts w:ascii="Arial" w:cs="Arial" w:eastAsia="Arial" w:hAnsi="Arial"/>
          <w:color w:val="0F1117"/>
          <w:sz w:val="22"/>
          <w:szCs w:val="22"/>
        </w:rPr>
        <w:t xml:space="preserve">The system: user enters a topic → agent calls search_web → fetches 3 documents → synthesises with inline [N] citations and a ## Sources section. The pipeline is an agentic loop over Claude with two tools, using simulated search for offline reliability.</w:t>
      </w:r>
    </w:p>
    <w:p>
      <w:pPr>
        <w:spacing w:after="0" w:before="80"/>
      </w:pPr>
    </w:p>
    <w:p>
      <w:pPr>
        <w:pStyle w:val="Heading3"/>
        <w:spacing w:after="80" w:before="200"/>
      </w:pPr>
      <w:r>
        <w:rPr>
          <w:rFonts w:ascii="Arial" w:cs="Arial" w:eastAsia="Arial" w:hAnsi="Arial"/>
          <w:b/>
          <w:bCs/>
          <w:color w:val="0F1117"/>
          <w:sz w:val="22"/>
          <w:szCs w:val="22"/>
        </w:rPr>
        <w:t xml:space="preserve">Structural checks (high confidence)</w:t>
      </w:r>
    </w:p>
    <w:p>
      <w:pPr>
        <w:pStyle w:val="ListParagraph"/>
        <w:numPr>
          <w:ilvl w:val="0"/>
          <w:numId w:val="2"/>
        </w:numPr>
        <w:spacing w:after="80"/>
      </w:pPr>
      <w:r>
        <w:rPr>
          <w:rFonts w:ascii="Arial" w:cs="Arial" w:eastAsia="Arial" w:hAnsi="Arial"/>
          <w:b w:val="false"/>
          <w:bCs w:val="false"/>
          <w:color w:val="0F1117"/>
          <w:sz w:val="22"/>
          <w:szCs w:val="22"/>
        </w:rPr>
        <w:t xml:space="preserve">Presence of at least one [N] citation — regex, deterministic</w:t>
      </w:r>
    </w:p>
    <w:p>
      <w:pPr>
        <w:pStyle w:val="ListParagraph"/>
        <w:numPr>
          <w:ilvl w:val="0"/>
          <w:numId w:val="2"/>
        </w:numPr>
        <w:spacing w:after="80"/>
      </w:pPr>
      <w:r>
        <w:rPr>
          <w:rFonts w:ascii="Arial" w:cs="Arial" w:eastAsia="Arial" w:hAnsi="Arial"/>
          <w:b w:val="false"/>
          <w:bCs w:val="false"/>
          <w:color w:val="0F1117"/>
          <w:sz w:val="22"/>
          <w:szCs w:val="22"/>
        </w:rPr>
        <w:t xml:space="preserve">Presence of ## Sources section — regex, deterministic</w:t>
      </w:r>
    </w:p>
    <w:p>
      <w:pPr>
        <w:pStyle w:val="ListParagraph"/>
        <w:numPr>
          <w:ilvl w:val="0"/>
          <w:numId w:val="2"/>
        </w:numPr>
        <w:spacing w:after="80"/>
      </w:pPr>
      <w:r>
        <w:rPr>
          <w:rFonts w:ascii="Arial" w:cs="Arial" w:eastAsia="Arial" w:hAnsi="Arial"/>
          <w:b w:val="false"/>
          <w:bCs w:val="false"/>
          <w:color w:val="0F1117"/>
          <w:sz w:val="22"/>
          <w:szCs w:val="22"/>
        </w:rPr>
        <w:t xml:space="preserve">Minimum word count (150–200 words) — split and count, deterministic</w:t>
      </w:r>
    </w:p>
    <w:p>
      <w:pPr>
        <w:pStyle w:val="ListParagraph"/>
        <w:numPr>
          <w:ilvl w:val="0"/>
          <w:numId w:val="2"/>
        </w:numPr>
        <w:spacing w:after="80"/>
      </w:pPr>
      <w:r>
        <w:rPr>
          <w:rFonts w:ascii="Arial" w:cs="Arial" w:eastAsia="Arial" w:hAnsi="Arial"/>
          <w:b w:val="false"/>
          <w:bCs w:val="false"/>
          <w:color w:val="0F1117"/>
          <w:sz w:val="22"/>
          <w:szCs w:val="22"/>
        </w:rPr>
        <w:t xml:space="preserve">Domain-specific terminology — regex over a vocabulary list</w:t>
      </w:r>
    </w:p>
    <w:p>
      <w:pPr>
        <w:spacing w:after="0" w:before="80"/>
      </w:pPr>
    </w:p>
    <w:p>
      <w:pPr>
        <w:pStyle w:val="Heading3"/>
        <w:spacing w:after="80" w:before="200"/>
      </w:pPr>
      <w:r>
        <w:rPr>
          <w:rFonts w:ascii="Arial" w:cs="Arial" w:eastAsia="Arial" w:hAnsi="Arial"/>
          <w:b/>
          <w:bCs/>
          <w:color w:val="0F1117"/>
          <w:sz w:val="22"/>
          <w:szCs w:val="22"/>
        </w:rPr>
        <w:t xml:space="preserve">Semantic checks (lower confidence)</w:t>
      </w:r>
    </w:p>
    <w:p>
      <w:pPr>
        <w:pStyle w:val="ListParagraph"/>
        <w:numPr>
          <w:ilvl w:val="0"/>
          <w:numId w:val="2"/>
        </w:numPr>
        <w:spacing w:after="80"/>
      </w:pPr>
      <w:r>
        <w:rPr>
          <w:rFonts w:ascii="Arial" w:cs="Arial" w:eastAsia="Arial" w:hAnsi="Arial"/>
          <w:b w:val="false"/>
          <w:bCs w:val="false"/>
          <w:color w:val="0F1117"/>
          <w:sz w:val="22"/>
          <w:szCs w:val="22"/>
        </w:rPr>
        <w:t xml:space="preserve">Caveats present: does the answer acknowledge limitations? — heuristic keyword match</w:t>
      </w:r>
    </w:p>
    <w:p>
      <w:pPr>
        <w:pStyle w:val="ListParagraph"/>
        <w:numPr>
          <w:ilvl w:val="0"/>
          <w:numId w:val="2"/>
        </w:numPr>
        <w:spacing w:after="80"/>
      </w:pPr>
      <w:r>
        <w:rPr>
          <w:rFonts w:ascii="Arial" w:cs="Arial" w:eastAsia="Arial" w:hAnsi="Arial"/>
          <w:b w:val="false"/>
          <w:bCs w:val="false"/>
          <w:color w:val="0F1117"/>
          <w:sz w:val="22"/>
          <w:szCs w:val="22"/>
        </w:rPr>
        <w:t xml:space="preserve">Structured output: headings or bullets present — regex, somewhat deterministic</w:t>
      </w:r>
    </w:p>
    <w:p>
      <w:pPr>
        <w:pStyle w:val="ListParagraph"/>
        <w:numPr>
          <w:ilvl w:val="0"/>
          <w:numId w:val="2"/>
        </w:numPr>
        <w:spacing w:after="80"/>
      </w:pPr>
      <w:r>
        <w:rPr>
          <w:rFonts w:ascii="Arial" w:cs="Arial" w:eastAsia="Arial" w:hAnsi="Arial"/>
          <w:b w:val="false"/>
          <w:bCs w:val="false"/>
          <w:color w:val="0F1117"/>
          <w:sz w:val="22"/>
          <w:szCs w:val="22"/>
        </w:rPr>
        <w:t xml:space="preserve">No uncited statistics: every sentence containing % also has a [N] — sentence-level regex</w:t>
      </w:r>
    </w:p>
    <w:p>
      <w:pPr>
        <w:spacing w:after="0" w:before="80"/>
      </w:pPr>
    </w:p>
    <w:p>
      <w:pPr>
        <w:pBdr>
          <w:left w:val="single" w:color="1D9E75" w:sz="12" w:space="12"/>
        </w:pBdr>
        <w:spacing w:after="160" w:before="160"/>
        <w:ind w:left="720" w:right="720"/>
      </w:pPr>
      <w:r>
        <w:rPr>
          <w:rFonts w:ascii="Arial" w:cs="Arial" w:eastAsia="Arial" w:hAnsi="Arial"/>
          <w:b/>
          <w:bCs/>
          <w:color w:val="1D9E75"/>
          <w:sz w:val="20"/>
          <w:szCs w:val="20"/>
        </w:rPr>
        <w:t xml:space="preserve">Hard problem:  </w:t>
      </w:r>
      <w:r>
        <w:rPr>
          <w:rFonts w:ascii="Arial" w:cs="Arial" w:eastAsia="Arial" w:hAnsi="Arial"/>
          <w:color w:val="0F6E56"/>
          <w:sz w:val="20"/>
          <w:szCs w:val="20"/>
        </w:rPr>
        <w:t xml:space="preserve">The hardest thing to eval was hallucination. The system uses mock search, so the retrieved content is controlled — we know exactly what facts are available. In production with live search, hallucination detection requires either human annotation or a secondary LLM judge.</w:t>
      </w:r>
    </w:p>
    <w:p>
      <w:pPr>
        <w:spacing w:after="0" w:before="160"/>
      </w:pPr>
    </w:p>
    <w:p>
      <w:pPr>
        <w:pStyle w:val="Heading2"/>
        <w:spacing w:after="120" w:before="280"/>
      </w:pPr>
      <w:r>
        <w:rPr>
          <w:rFonts w:ascii="Arial" w:cs="Arial" w:eastAsia="Arial" w:hAnsi="Arial"/>
          <w:b/>
          <w:bCs/>
          <w:color w:val="0F6E56"/>
          <w:sz w:val="26"/>
          <w:szCs w:val="26"/>
        </w:rPr>
        <w:t xml:space="preserve">3.2  Eval suite structure</w:t>
      </w:r>
    </w:p>
    <w:p>
      <w:pPr>
        <w:spacing w:after="120" w:before="0"/>
      </w:pPr>
      <w:r>
        <w:rPr>
          <w:rFonts w:ascii="Arial" w:cs="Arial" w:eastAsia="Arial" w:hAnsi="Arial"/>
          <w:color w:val="0F1117"/>
          <w:sz w:val="22"/>
          <w:szCs w:val="22"/>
        </w:rPr>
        <w:t xml:space="preserve">Four test cases, each with 5–6 checks, 21 checks total. The suite passes when at least 80% of checks pass (≥ 17/21). This allows up to 4 failures — roughly one edge case per topic — without blocking the suite.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1800"/>
        <w:gridCol w:w="1800"/>
      </w:tblGrid>
      <w:tr>
        <w:trPr>
          <w:tblHeader/>
        </w:trPr>
        <w:tc>
          <w:tcPr>
            <w:tcW w:type="dxa" w:w="1440"/>
            <w:tcBorders>
              <w:top w:val="single" w:color="E4E2DB" w:sz="1"/>
              <w:left w:val="single" w:color="E4E2DB" w:sz="1"/>
              <w:bottom w:val="single" w:color="E4E2DB" w:sz="1"/>
              <w:right w:val="single" w:color="E4E2DB"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Case</w:t>
            </w:r>
          </w:p>
        </w:tc>
        <w:tc>
          <w:tcPr>
            <w:tcW w:type="dxa" w:w="4320"/>
            <w:tcBorders>
              <w:top w:val="single" w:color="E4E2DB" w:sz="1"/>
              <w:left w:val="single" w:color="E4E2DB" w:sz="1"/>
              <w:bottom w:val="single" w:color="E4E2DB" w:sz="1"/>
              <w:right w:val="single" w:color="E4E2DB"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1800"/>
            <w:tcBorders>
              <w:top w:val="single" w:color="E4E2DB" w:sz="1"/>
              <w:left w:val="single" w:color="E4E2DB" w:sz="1"/>
              <w:bottom w:val="single" w:color="E4E2DB" w:sz="1"/>
              <w:right w:val="single" w:color="E4E2DB"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Checks</w:t>
            </w:r>
          </w:p>
        </w:tc>
        <w:tc>
          <w:tcPr>
            <w:tcW w:type="dxa" w:w="1800"/>
            <w:tcBorders>
              <w:top w:val="single" w:color="E4E2DB" w:sz="1"/>
              <w:left w:val="single" w:color="E4E2DB" w:sz="1"/>
              <w:bottom w:val="single" w:color="E4E2DB" w:sz="1"/>
              <w:right w:val="single" w:color="E4E2DB"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Threshold</w:t>
            </w:r>
          </w:p>
        </w:tc>
      </w:tr>
      <w:tr>
        <w:tc>
          <w:tcPr>
            <w:tcW w:type="dxa" w:w="1440"/>
            <w:tcBorders>
              <w:top w:val="single" w:color="E4E2DB" w:sz="1"/>
              <w:left w:val="single" w:color="E4E2DB" w:sz="1"/>
              <w:bottom w:val="single" w:color="E4E2DB" w:sz="1"/>
              <w:right w:val="single" w:color="E4E2DB" w:sz="1"/>
            </w:tcBorders>
            <w:shd w:fill="FFFFFF" w:val="clear"/>
            <w:tcMar>
              <w:top w:type="dxa" w:w="80"/>
              <w:left w:type="dxa" w:w="120"/>
              <w:bottom w:type="dxa" w:w="80"/>
              <w:right w:type="dxa" w:w="120"/>
            </w:tcMar>
          </w:tcPr>
          <w:p>
            <w:pPr>
              <w:jc w:val="left"/>
            </w:pPr>
            <w:r>
              <w:rPr>
                <w:rFonts w:ascii="Arial" w:cs="Arial" w:eastAsia="Arial" w:hAnsi="Arial"/>
                <w:b/>
                <w:bCs/>
                <w:color w:val="0F6E56"/>
                <w:sz w:val="20"/>
                <w:szCs w:val="20"/>
              </w:rPr>
              <w:t xml:space="preserve">E01</w:t>
            </w:r>
          </w:p>
        </w:tc>
        <w:tc>
          <w:tcPr>
            <w:tcW w:type="dxa" w:w="4320"/>
            <w:tcBorders>
              <w:top w:val="single" w:color="E4E2DB" w:sz="1"/>
              <w:left w:val="single" w:color="E4E2DB" w:sz="1"/>
              <w:bottom w:val="single" w:color="E4E2DB" w:sz="1"/>
              <w:right w:val="single" w:color="E4E2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117"/>
                <w:sz w:val="20"/>
                <w:szCs w:val="20"/>
              </w:rPr>
              <w:t xml:space="preserve">Quantum computing</w:t>
            </w:r>
          </w:p>
        </w:tc>
        <w:tc>
          <w:tcPr>
            <w:tcW w:type="dxa" w:w="1800"/>
            <w:tcBorders>
              <w:top w:val="single" w:color="E4E2DB" w:sz="1"/>
              <w:left w:val="single" w:color="E4E2DB" w:sz="1"/>
              <w:bottom w:val="single" w:color="E4E2DB" w:sz="1"/>
              <w:right w:val="single" w:color="E4E2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117"/>
                <w:sz w:val="20"/>
                <w:szCs w:val="20"/>
              </w:rPr>
              <w:t xml:space="preserve">5</w:t>
            </w:r>
          </w:p>
        </w:tc>
        <w:tc>
          <w:tcPr>
            <w:tcW w:type="dxa" w:w="1800"/>
            <w:tcBorders>
              <w:top w:val="single" w:color="E4E2DB" w:sz="1"/>
              <w:left w:val="single" w:color="E4E2DB" w:sz="1"/>
              <w:bottom w:val="single" w:color="E4E2DB" w:sz="1"/>
              <w:right w:val="single" w:color="E4E2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117"/>
                <w:sz w:val="20"/>
                <w:szCs w:val="20"/>
              </w:rPr>
              <w:t xml:space="preserve">≥ 80%</w:t>
            </w:r>
          </w:p>
        </w:tc>
      </w:tr>
      <w:tr>
        <w:tc>
          <w:tcPr>
            <w:tcW w:type="dxa" w:w="1440"/>
            <w:tcBorders>
              <w:top w:val="single" w:color="E4E2DB" w:sz="1"/>
              <w:left w:val="single" w:color="E4E2DB" w:sz="1"/>
              <w:bottom w:val="single" w:color="E4E2DB" w:sz="1"/>
              <w:right w:val="single" w:color="E4E2DB" w:sz="1"/>
            </w:tcBorders>
            <w:shd w:fill="FAFAF8" w:val="clear"/>
            <w:tcMar>
              <w:top w:type="dxa" w:w="80"/>
              <w:left w:type="dxa" w:w="120"/>
              <w:bottom w:type="dxa" w:w="80"/>
              <w:right w:type="dxa" w:w="120"/>
            </w:tcMar>
          </w:tcPr>
          <w:p>
            <w:pPr>
              <w:jc w:val="left"/>
            </w:pPr>
            <w:r>
              <w:rPr>
                <w:rFonts w:ascii="Arial" w:cs="Arial" w:eastAsia="Arial" w:hAnsi="Arial"/>
                <w:b/>
                <w:bCs/>
                <w:color w:val="0F6E56"/>
                <w:sz w:val="20"/>
                <w:szCs w:val="20"/>
              </w:rPr>
              <w:t xml:space="preserve">E02</w:t>
            </w:r>
          </w:p>
        </w:tc>
        <w:tc>
          <w:tcPr>
            <w:tcW w:type="dxa" w:w="4320"/>
            <w:tcBorders>
              <w:top w:val="single" w:color="E4E2DB" w:sz="1"/>
              <w:left w:val="single" w:color="E4E2DB" w:sz="1"/>
              <w:bottom w:val="single" w:color="E4E2DB" w:sz="1"/>
              <w:right w:val="single" w:color="E4E2DB" w:sz="1"/>
            </w:tcBorders>
            <w:shd w:fill="FAFAF8" w:val="clear"/>
            <w:tcMar>
              <w:top w:type="dxa" w:w="80"/>
              <w:left w:type="dxa" w:w="120"/>
              <w:bottom w:type="dxa" w:w="80"/>
              <w:right w:type="dxa" w:w="120"/>
            </w:tcMar>
          </w:tcPr>
          <w:p>
            <w:pPr>
              <w:jc w:val="left"/>
            </w:pPr>
            <w:r>
              <w:rPr>
                <w:rFonts w:ascii="Arial" w:cs="Arial" w:eastAsia="Arial" w:hAnsi="Arial"/>
                <w:b w:val="false"/>
                <w:bCs w:val="false"/>
                <w:color w:val="0F1117"/>
                <w:sz w:val="20"/>
                <w:szCs w:val="20"/>
              </w:rPr>
              <w:t xml:space="preserve">Climate change / carbon capture</w:t>
            </w:r>
          </w:p>
        </w:tc>
        <w:tc>
          <w:tcPr>
            <w:tcW w:type="dxa" w:w="1800"/>
            <w:tcBorders>
              <w:top w:val="single" w:color="E4E2DB" w:sz="1"/>
              <w:left w:val="single" w:color="E4E2DB" w:sz="1"/>
              <w:bottom w:val="single" w:color="E4E2DB" w:sz="1"/>
              <w:right w:val="single" w:color="E4E2DB" w:sz="1"/>
            </w:tcBorders>
            <w:shd w:fill="FAFAF8" w:val="clear"/>
            <w:tcMar>
              <w:top w:type="dxa" w:w="80"/>
              <w:left w:type="dxa" w:w="120"/>
              <w:bottom w:type="dxa" w:w="80"/>
              <w:right w:type="dxa" w:w="120"/>
            </w:tcMar>
          </w:tcPr>
          <w:p>
            <w:pPr>
              <w:jc w:val="center"/>
            </w:pPr>
            <w:r>
              <w:rPr>
                <w:rFonts w:ascii="Arial" w:cs="Arial" w:eastAsia="Arial" w:hAnsi="Arial"/>
                <w:b w:val="false"/>
                <w:bCs w:val="false"/>
                <w:color w:val="0F1117"/>
                <w:sz w:val="20"/>
                <w:szCs w:val="20"/>
              </w:rPr>
              <w:t xml:space="preserve">6</w:t>
            </w:r>
          </w:p>
        </w:tc>
        <w:tc>
          <w:tcPr>
            <w:tcW w:type="dxa" w:w="1800"/>
            <w:tcBorders>
              <w:top w:val="single" w:color="E4E2DB" w:sz="1"/>
              <w:left w:val="single" w:color="E4E2DB" w:sz="1"/>
              <w:bottom w:val="single" w:color="E4E2DB" w:sz="1"/>
              <w:right w:val="single" w:color="E4E2DB" w:sz="1"/>
            </w:tcBorders>
            <w:shd w:fill="FAFAF8" w:val="clear"/>
            <w:tcMar>
              <w:top w:type="dxa" w:w="80"/>
              <w:left w:type="dxa" w:w="120"/>
              <w:bottom w:type="dxa" w:w="80"/>
              <w:right w:type="dxa" w:w="120"/>
            </w:tcMar>
          </w:tcPr>
          <w:p>
            <w:pPr>
              <w:jc w:val="center"/>
            </w:pPr>
            <w:r>
              <w:rPr>
                <w:rFonts w:ascii="Arial" w:cs="Arial" w:eastAsia="Arial" w:hAnsi="Arial"/>
                <w:b w:val="false"/>
                <w:bCs w:val="false"/>
                <w:color w:val="0F1117"/>
                <w:sz w:val="20"/>
                <w:szCs w:val="20"/>
              </w:rPr>
              <w:t xml:space="preserve">≥ 80%</w:t>
            </w:r>
          </w:p>
        </w:tc>
      </w:tr>
      <w:tr>
        <w:tc>
          <w:tcPr>
            <w:tcW w:type="dxa" w:w="1440"/>
            <w:tcBorders>
              <w:top w:val="single" w:color="E4E2DB" w:sz="1"/>
              <w:left w:val="single" w:color="E4E2DB" w:sz="1"/>
              <w:bottom w:val="single" w:color="E4E2DB" w:sz="1"/>
              <w:right w:val="single" w:color="E4E2DB" w:sz="1"/>
            </w:tcBorders>
            <w:shd w:fill="FFFFFF" w:val="clear"/>
            <w:tcMar>
              <w:top w:type="dxa" w:w="80"/>
              <w:left w:type="dxa" w:w="120"/>
              <w:bottom w:type="dxa" w:w="80"/>
              <w:right w:type="dxa" w:w="120"/>
            </w:tcMar>
          </w:tcPr>
          <w:p>
            <w:pPr>
              <w:jc w:val="left"/>
            </w:pPr>
            <w:r>
              <w:rPr>
                <w:rFonts w:ascii="Arial" w:cs="Arial" w:eastAsia="Arial" w:hAnsi="Arial"/>
                <w:b/>
                <w:bCs/>
                <w:color w:val="0F6E56"/>
                <w:sz w:val="20"/>
                <w:szCs w:val="20"/>
              </w:rPr>
              <w:t xml:space="preserve">E03</w:t>
            </w:r>
          </w:p>
        </w:tc>
        <w:tc>
          <w:tcPr>
            <w:tcW w:type="dxa" w:w="4320"/>
            <w:tcBorders>
              <w:top w:val="single" w:color="E4E2DB" w:sz="1"/>
              <w:left w:val="single" w:color="E4E2DB" w:sz="1"/>
              <w:bottom w:val="single" w:color="E4E2DB" w:sz="1"/>
              <w:right w:val="single" w:color="E4E2DB"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117"/>
                <w:sz w:val="20"/>
                <w:szCs w:val="20"/>
              </w:rPr>
              <w:t xml:space="preserve">Retrieval augmented generation</w:t>
            </w:r>
          </w:p>
        </w:tc>
        <w:tc>
          <w:tcPr>
            <w:tcW w:type="dxa" w:w="1800"/>
            <w:tcBorders>
              <w:top w:val="single" w:color="E4E2DB" w:sz="1"/>
              <w:left w:val="single" w:color="E4E2DB" w:sz="1"/>
              <w:bottom w:val="single" w:color="E4E2DB" w:sz="1"/>
              <w:right w:val="single" w:color="E4E2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117"/>
                <w:sz w:val="20"/>
                <w:szCs w:val="20"/>
              </w:rPr>
              <w:t xml:space="preserve">5</w:t>
            </w:r>
          </w:p>
        </w:tc>
        <w:tc>
          <w:tcPr>
            <w:tcW w:type="dxa" w:w="1800"/>
            <w:tcBorders>
              <w:top w:val="single" w:color="E4E2DB" w:sz="1"/>
              <w:left w:val="single" w:color="E4E2DB" w:sz="1"/>
              <w:bottom w:val="single" w:color="E4E2DB" w:sz="1"/>
              <w:right w:val="single" w:color="E4E2D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1117"/>
                <w:sz w:val="20"/>
                <w:szCs w:val="20"/>
              </w:rPr>
              <w:t xml:space="preserve">≥ 80%</w:t>
            </w:r>
          </w:p>
        </w:tc>
      </w:tr>
      <w:tr>
        <w:tc>
          <w:tcPr>
            <w:tcW w:type="dxa" w:w="1440"/>
            <w:tcBorders>
              <w:top w:val="single" w:color="E4E2DB" w:sz="1"/>
              <w:left w:val="single" w:color="E4E2DB" w:sz="1"/>
              <w:bottom w:val="single" w:color="E4E2DB" w:sz="1"/>
              <w:right w:val="single" w:color="E4E2DB" w:sz="1"/>
            </w:tcBorders>
            <w:shd w:fill="FAFAF8" w:val="clear"/>
            <w:tcMar>
              <w:top w:type="dxa" w:w="80"/>
              <w:left w:type="dxa" w:w="120"/>
              <w:bottom w:type="dxa" w:w="80"/>
              <w:right w:type="dxa" w:w="120"/>
            </w:tcMar>
          </w:tcPr>
          <w:p>
            <w:pPr>
              <w:jc w:val="left"/>
            </w:pPr>
            <w:r>
              <w:rPr>
                <w:rFonts w:ascii="Arial" w:cs="Arial" w:eastAsia="Arial" w:hAnsi="Arial"/>
                <w:b/>
                <w:bCs/>
                <w:color w:val="0F6E56"/>
                <w:sz w:val="20"/>
                <w:szCs w:val="20"/>
              </w:rPr>
              <w:t xml:space="preserve">E04</w:t>
            </w:r>
          </w:p>
        </w:tc>
        <w:tc>
          <w:tcPr>
            <w:tcW w:type="dxa" w:w="4320"/>
            <w:tcBorders>
              <w:top w:val="single" w:color="E4E2DB" w:sz="1"/>
              <w:left w:val="single" w:color="E4E2DB" w:sz="1"/>
              <w:bottom w:val="single" w:color="E4E2DB" w:sz="1"/>
              <w:right w:val="single" w:color="E4E2DB" w:sz="1"/>
            </w:tcBorders>
            <w:shd w:fill="FAFAF8" w:val="clear"/>
            <w:tcMar>
              <w:top w:type="dxa" w:w="80"/>
              <w:left w:type="dxa" w:w="120"/>
              <w:bottom w:type="dxa" w:w="80"/>
              <w:right w:type="dxa" w:w="120"/>
            </w:tcMar>
          </w:tcPr>
          <w:p>
            <w:pPr>
              <w:jc w:val="left"/>
            </w:pPr>
            <w:r>
              <w:rPr>
                <w:rFonts w:ascii="Arial" w:cs="Arial" w:eastAsia="Arial" w:hAnsi="Arial"/>
                <w:b w:val="false"/>
                <w:bCs w:val="false"/>
                <w:color w:val="0F1117"/>
                <w:sz w:val="20"/>
                <w:szCs w:val="20"/>
              </w:rPr>
              <w:t xml:space="preserve">CRISPR gene editing</w:t>
            </w:r>
          </w:p>
        </w:tc>
        <w:tc>
          <w:tcPr>
            <w:tcW w:type="dxa" w:w="1800"/>
            <w:tcBorders>
              <w:top w:val="single" w:color="E4E2DB" w:sz="1"/>
              <w:left w:val="single" w:color="E4E2DB" w:sz="1"/>
              <w:bottom w:val="single" w:color="E4E2DB" w:sz="1"/>
              <w:right w:val="single" w:color="E4E2DB" w:sz="1"/>
            </w:tcBorders>
            <w:shd w:fill="FAFAF8" w:val="clear"/>
            <w:tcMar>
              <w:top w:type="dxa" w:w="80"/>
              <w:left w:type="dxa" w:w="120"/>
              <w:bottom w:type="dxa" w:w="80"/>
              <w:right w:type="dxa" w:w="120"/>
            </w:tcMar>
          </w:tcPr>
          <w:p>
            <w:pPr>
              <w:jc w:val="center"/>
            </w:pPr>
            <w:r>
              <w:rPr>
                <w:rFonts w:ascii="Arial" w:cs="Arial" w:eastAsia="Arial" w:hAnsi="Arial"/>
                <w:b w:val="false"/>
                <w:bCs w:val="false"/>
                <w:color w:val="0F1117"/>
                <w:sz w:val="20"/>
                <w:szCs w:val="20"/>
              </w:rPr>
              <w:t xml:space="preserve">5</w:t>
            </w:r>
          </w:p>
        </w:tc>
        <w:tc>
          <w:tcPr>
            <w:tcW w:type="dxa" w:w="1800"/>
            <w:tcBorders>
              <w:top w:val="single" w:color="E4E2DB" w:sz="1"/>
              <w:left w:val="single" w:color="E4E2DB" w:sz="1"/>
              <w:bottom w:val="single" w:color="E4E2DB" w:sz="1"/>
              <w:right w:val="single" w:color="E4E2DB" w:sz="1"/>
            </w:tcBorders>
            <w:shd w:fill="FAFAF8" w:val="clear"/>
            <w:tcMar>
              <w:top w:type="dxa" w:w="80"/>
              <w:left w:type="dxa" w:w="120"/>
              <w:bottom w:type="dxa" w:w="80"/>
              <w:right w:type="dxa" w:w="120"/>
            </w:tcMar>
          </w:tcPr>
          <w:p>
            <w:pPr>
              <w:jc w:val="center"/>
            </w:pPr>
            <w:r>
              <w:rPr>
                <w:rFonts w:ascii="Arial" w:cs="Arial" w:eastAsia="Arial" w:hAnsi="Arial"/>
                <w:b w:val="false"/>
                <w:bCs w:val="false"/>
                <w:color w:val="0F1117"/>
                <w:sz w:val="20"/>
                <w:szCs w:val="20"/>
              </w:rPr>
              <w:t xml:space="preserve">≥ 80%</w:t>
            </w:r>
          </w:p>
        </w:tc>
      </w:tr>
    </w:tbl>
    <w:p>
      <w:pPr>
        <w:spacing w:after="0" w:before="200"/>
      </w:pPr>
    </w:p>
    <w:p>
      <w:pPr>
        <w:pStyle w:val="Heading1"/>
        <w:pBdr>
          <w:bottom w:val="single" w:color="1D9E75" w:sz="4" w:space="6"/>
        </w:pBdr>
        <w:spacing w:after="160" w:before="320"/>
      </w:pPr>
      <w:r>
        <w:rPr>
          <w:rFonts w:ascii="Arial" w:cs="Arial" w:eastAsia="Arial" w:hAnsi="Arial"/>
          <w:b/>
          <w:bCs/>
          <w:color w:val="0F1117"/>
          <w:sz w:val="32"/>
          <w:szCs w:val="32"/>
        </w:rPr>
        <w:t xml:space="preserve">4. Week 5 learnings consolidated</w:t>
      </w:r>
    </w:p>
    <w:p>
      <w:pPr>
        <w:pStyle w:val="Heading2"/>
        <w:spacing w:after="120" w:before="280"/>
      </w:pPr>
      <w:r>
        <w:rPr>
          <w:rFonts w:ascii="Arial" w:cs="Arial" w:eastAsia="Arial" w:hAnsi="Arial"/>
          <w:b/>
          <w:bCs/>
          <w:color w:val="0F6E56"/>
          <w:sz w:val="26"/>
          <w:szCs w:val="26"/>
        </w:rPr>
        <w:t xml:space="preserve">4.1  Memory patterns</w:t>
      </w:r>
    </w:p>
    <w:p>
      <w:pPr>
        <w:spacing w:after="120" w:before="0"/>
      </w:pPr>
      <w:r>
        <w:rPr>
          <w:rFonts w:ascii="Arial" w:cs="Arial" w:eastAsia="Arial" w:hAnsi="Arial"/>
          <w:color w:val="0F1117"/>
          <w:sz w:val="22"/>
          <w:szCs w:val="22"/>
        </w:rPr>
        <w:t xml:space="preserve">In-context memory is free but expensive at scale. Summarisation memory is the first optimisation worth making — it cuts token cost roughly in half at the cost of some detail loss. The rolling summary must be cumulative: each compression round folds the previous summary in, or you lose information at every boundary.</w:t>
      </w:r>
    </w:p>
    <w:p>
      <w:pPr>
        <w:spacing w:after="0" w:before="60"/>
      </w:pPr>
    </w:p>
    <w:p>
      <w:pPr>
        <w:pStyle w:val="ListParagraph"/>
        <w:numPr>
          <w:ilvl w:val="0"/>
          <w:numId w:val="2"/>
        </w:numPr>
        <w:spacing w:after="80"/>
      </w:pPr>
      <w:r>
        <w:rPr>
          <w:rFonts w:ascii="Arial" w:cs="Arial" w:eastAsia="Arial" w:hAnsi="Arial"/>
          <w:b w:val="false"/>
          <w:bCs w:val="false"/>
          <w:color w:val="0F1117"/>
          <w:sz w:val="22"/>
          <w:szCs w:val="22"/>
        </w:rPr>
        <w:t xml:space="preserve">In-context: exact recall, O(n) token growth — good for short sessions</w:t>
      </w:r>
    </w:p>
    <w:p>
      <w:pPr>
        <w:pStyle w:val="ListParagraph"/>
        <w:numPr>
          <w:ilvl w:val="0"/>
          <w:numId w:val="2"/>
        </w:numPr>
        <w:spacing w:after="80"/>
      </w:pPr>
      <w:r>
        <w:rPr>
          <w:rFonts w:ascii="Arial" w:cs="Arial" w:eastAsia="Arial" w:hAnsi="Arial"/>
          <w:b w:val="false"/>
          <w:bCs w:val="false"/>
          <w:color w:val="0F1117"/>
          <w:sz w:val="22"/>
          <w:szCs w:val="22"/>
        </w:rPr>
        <w:t xml:space="preserve">Summarisation: ~50% token reduction, small detail loss — good for multi-turn</w:t>
      </w:r>
    </w:p>
    <w:p>
      <w:pPr>
        <w:pStyle w:val="ListParagraph"/>
        <w:numPr>
          <w:ilvl w:val="0"/>
          <w:numId w:val="2"/>
        </w:numPr>
        <w:spacing w:after="80"/>
      </w:pPr>
      <w:r>
        <w:rPr>
          <w:rFonts w:ascii="Arial" w:cs="Arial" w:eastAsia="Arial" w:hAnsi="Arial"/>
          <w:b w:val="false"/>
          <w:bCs w:val="false"/>
          <w:color w:val="0F1117"/>
          <w:sz w:val="22"/>
          <w:szCs w:val="22"/>
        </w:rPr>
        <w:t xml:space="preserve">Entity memory: precise fact recall, engineering overhead — good for personal assistants</w:t>
      </w:r>
    </w:p>
    <w:p>
      <w:pPr>
        <w:pStyle w:val="ListParagraph"/>
        <w:numPr>
          <w:ilvl w:val="0"/>
          <w:numId w:val="2"/>
        </w:numPr>
        <w:spacing w:after="80"/>
      </w:pPr>
      <w:r>
        <w:rPr>
          <w:rFonts w:ascii="Arial" w:cs="Arial" w:eastAsia="Arial" w:hAnsi="Arial"/>
          <w:b w:val="false"/>
          <w:bCs w:val="false"/>
          <w:color w:val="0F1117"/>
          <w:sz w:val="22"/>
          <w:szCs w:val="22"/>
        </w:rPr>
        <w:t xml:space="preserve">External stores (Redis/vector DB): unlimited history, infrastructure cost — good for production</w:t>
      </w:r>
    </w:p>
    <w:p>
      <w:pPr>
        <w:spacing w:after="0" w:before="120"/>
      </w:pPr>
    </w:p>
    <w:p>
      <w:pPr>
        <w:pStyle w:val="Heading2"/>
        <w:spacing w:after="120" w:before="280"/>
      </w:pPr>
      <w:r>
        <w:rPr>
          <w:rFonts w:ascii="Arial" w:cs="Arial" w:eastAsia="Arial" w:hAnsi="Arial"/>
          <w:b/>
          <w:bCs/>
          <w:color w:val="0F6E56"/>
          <w:sz w:val="26"/>
          <w:szCs w:val="26"/>
        </w:rPr>
        <w:t xml:space="preserve">4.2  Retrieval improvements</w:t>
      </w:r>
    </w:p>
    <w:p>
      <w:pPr>
        <w:spacing w:after="120" w:before="0"/>
      </w:pPr>
      <w:r>
        <w:rPr>
          <w:rFonts w:ascii="Arial" w:cs="Arial" w:eastAsia="Arial" w:hAnsi="Arial"/>
          <w:color w:val="0F1117"/>
          <w:sz w:val="22"/>
          <w:szCs w:val="22"/>
        </w:rPr>
        <w:t xml:space="preserve">The single biggest gain in RAG quality comes from hybrid search (BM25 + vector) fused with RRF. Cross-encoder reranking adds a further 3–8% precision at the cost of latency. The order matters: retrieve broadly, rerank precisely, then apply MMR for diversity.</w:t>
      </w:r>
    </w:p>
    <w:p>
      <w:pPr>
        <w:spacing w:after="0" w:before="60"/>
      </w:pPr>
    </w:p>
    <w:p>
      <w:pPr>
        <w:pStyle w:val="ListParagraph"/>
        <w:numPr>
          <w:ilvl w:val="0"/>
          <w:numId w:val="2"/>
        </w:numPr>
        <w:spacing w:after="80"/>
      </w:pPr>
      <w:r>
        <w:rPr>
          <w:rFonts w:ascii="Arial" w:cs="Arial" w:eastAsia="Arial" w:hAnsi="Arial"/>
          <w:b w:val="false"/>
          <w:bCs w:val="false"/>
          <w:color w:val="0F1117"/>
          <w:sz w:val="22"/>
          <w:szCs w:val="22"/>
        </w:rPr>
        <w:t xml:space="preserve">Hybrid retrieval: 5–15% better than either alone on BEIR/MS MARCO</w:t>
      </w:r>
    </w:p>
    <w:p>
      <w:pPr>
        <w:pStyle w:val="ListParagraph"/>
        <w:numPr>
          <w:ilvl w:val="0"/>
          <w:numId w:val="2"/>
        </w:numPr>
        <w:spacing w:after="80"/>
      </w:pPr>
      <w:r>
        <w:rPr>
          <w:rFonts w:ascii="Arial" w:cs="Arial" w:eastAsia="Arial" w:hAnsi="Arial"/>
          <w:b w:val="false"/>
          <w:bCs w:val="false"/>
          <w:color w:val="0F1117"/>
          <w:sz w:val="22"/>
          <w:szCs w:val="22"/>
        </w:rPr>
        <w:t xml:space="preserve">Cross-encoder reranking: run on top-50, return top-5; ~3–8% gain</w:t>
      </w:r>
    </w:p>
    <w:p>
      <w:pPr>
        <w:pStyle w:val="ListParagraph"/>
        <w:numPr>
          <w:ilvl w:val="0"/>
          <w:numId w:val="2"/>
        </w:numPr>
        <w:spacing w:after="80"/>
      </w:pPr>
      <w:r>
        <w:rPr>
          <w:rFonts w:ascii="Arial" w:cs="Arial" w:eastAsia="Arial" w:hAnsi="Arial"/>
          <w:b w:val="false"/>
          <w:bCs w:val="false"/>
          <w:color w:val="0F1117"/>
          <w:sz w:val="22"/>
          <w:szCs w:val="22"/>
        </w:rPr>
        <w:t xml:space="preserve">HyDE: useful when query phrasing differs from document phrasing; costs one extra LLM call</w:t>
      </w:r>
    </w:p>
    <w:p>
      <w:pPr>
        <w:pStyle w:val="ListParagraph"/>
        <w:numPr>
          <w:ilvl w:val="0"/>
          <w:numId w:val="2"/>
        </w:numPr>
        <w:spacing w:after="80"/>
      </w:pPr>
      <w:r>
        <w:rPr>
          <w:rFonts w:ascii="Arial" w:cs="Arial" w:eastAsia="Arial" w:hAnsi="Arial"/>
          <w:b w:val="false"/>
          <w:bCs w:val="false"/>
          <w:color w:val="0F1117"/>
          <w:sz w:val="22"/>
          <w:szCs w:val="22"/>
        </w:rPr>
        <w:t xml:space="preserve">MMR: prevents 5 near-duplicate chunks; λ=0.5 balances relevance and diversity</w:t>
      </w:r>
    </w:p>
    <w:p>
      <w:pPr>
        <w:pStyle w:val="ListParagraph"/>
        <w:numPr>
          <w:ilvl w:val="0"/>
          <w:numId w:val="2"/>
        </w:numPr>
        <w:spacing w:after="80"/>
      </w:pPr>
      <w:r>
        <w:rPr>
          <w:rFonts w:ascii="Arial" w:cs="Arial" w:eastAsia="Arial" w:hAnsi="Arial"/>
          <w:b w:val="false"/>
          <w:bCs w:val="false"/>
          <w:color w:val="0F1117"/>
          <w:sz w:val="22"/>
          <w:szCs w:val="22"/>
        </w:rPr>
        <w:t xml:space="preserve">Metadata filtering: apply before retrieval, not after — reduces candidate set dramatically</w:t>
      </w:r>
    </w:p>
    <w:p>
      <w:pPr>
        <w:spacing w:after="0" w:before="120"/>
      </w:pPr>
    </w:p>
    <w:p>
      <w:pPr>
        <w:pStyle w:val="Heading2"/>
        <w:spacing w:after="120" w:before="280"/>
      </w:pPr>
      <w:r>
        <w:rPr>
          <w:rFonts w:ascii="Arial" w:cs="Arial" w:eastAsia="Arial" w:hAnsi="Arial"/>
          <w:b/>
          <w:bCs/>
          <w:color w:val="0F6E56"/>
          <w:sz w:val="26"/>
          <w:szCs w:val="26"/>
        </w:rPr>
        <w:t xml:space="preserve">4.3  LlamaIndex vs bare-metal</w:t>
      </w:r>
    </w:p>
    <w:p>
      <w:pPr>
        <w:spacing w:after="120" w:before="0"/>
      </w:pPr>
      <w:r>
        <w:rPr>
          <w:rFonts w:ascii="Arial" w:cs="Arial" w:eastAsia="Arial" w:hAnsi="Arial"/>
          <w:color w:val="0F1117"/>
          <w:sz w:val="22"/>
          <w:szCs w:val="22"/>
        </w:rPr>
        <w:t xml:space="preserve">LlamaIndex saves roughly 60% of RAG boilerplate for standard pipelines. The abstractions map directly to pipeline stages and the router pattern is first-class. For production systems needing deep observability or complex agents, LangChain's ecosystem (especially LangSmith and LangGraph) is the stronger choice.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4E2DB" w:sz="1"/>
              <w:left w:val="single" w:color="E4E2DB" w:sz="1"/>
              <w:bottom w:val="single" w:color="E4E2DB" w:sz="1"/>
              <w:right w:val="single" w:color="E4E2DB" w:sz="1"/>
            </w:tcBorders>
            <w:shd w:fill="0F6E5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Dimension</w:t>
            </w:r>
          </w:p>
        </w:tc>
        <w:tc>
          <w:tcPr>
            <w:tcW w:type="dxa" w:w="3120"/>
            <w:tcBorders>
              <w:top w:val="single" w:color="E4E2DB" w:sz="1"/>
              <w:left w:val="single" w:color="E4E2DB" w:sz="1"/>
              <w:bottom w:val="single" w:color="E4E2DB" w:sz="1"/>
              <w:right w:val="single" w:color="E4E2DB" w:sz="1"/>
            </w:tcBorders>
            <w:shd w:fill="0F6E5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LlamaIndex</w:t>
            </w:r>
          </w:p>
        </w:tc>
        <w:tc>
          <w:tcPr>
            <w:tcW w:type="dxa" w:w="3120"/>
            <w:tcBorders>
              <w:top w:val="single" w:color="E4E2DB" w:sz="1"/>
              <w:left w:val="single" w:color="E4E2DB" w:sz="1"/>
              <w:bottom w:val="single" w:color="E4E2DB" w:sz="1"/>
              <w:right w:val="single" w:color="E4E2DB" w:sz="1"/>
            </w:tcBorders>
            <w:shd w:fill="0F6E5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Custom / bare-metal</w:t>
            </w:r>
          </w:p>
        </w:tc>
      </w:tr>
      <w:tr>
        <w:tc>
          <w:tcPr>
            <w:tcW w:type="dxa" w:w="3120"/>
            <w:tcBorders>
              <w:top w:val="single" w:color="E4E2DB" w:sz="1"/>
              <w:left w:val="single" w:color="E4E2DB" w:sz="1"/>
              <w:bottom w:val="single" w:color="E4E2DB" w:sz="1"/>
              <w:right w:val="single" w:color="E4E2DB" w:sz="1"/>
            </w:tcBorders>
            <w:shd w:fill="FFFFFF" w:val="clear"/>
            <w:tcMar>
              <w:top w:type="dxa" w:w="80"/>
              <w:left w:type="dxa" w:w="140"/>
              <w:bottom w:type="dxa" w:w="80"/>
              <w:right w:type="dxa" w:w="140"/>
            </w:tcMar>
          </w:tcPr>
          <w:p>
            <w:r>
              <w:rPr>
                <w:rFonts w:ascii="Arial" w:cs="Arial" w:eastAsia="Arial" w:hAnsi="Arial"/>
                <w:b/>
                <w:bCs/>
                <w:color w:val="0F6E56"/>
                <w:sz w:val="20"/>
                <w:szCs w:val="20"/>
              </w:rPr>
              <w:t xml:space="preserve">Document ingestion</w:t>
            </w:r>
          </w:p>
        </w:tc>
        <w:tc>
          <w:tcPr>
            <w:tcW w:type="dxa" w:w="3120"/>
            <w:tcBorders>
              <w:top w:val="single" w:color="E4E2DB" w:sz="1"/>
              <w:left w:val="single" w:color="E4E2DB" w:sz="1"/>
              <w:bottom w:val="single" w:color="E4E2DB" w:sz="1"/>
              <w:right w:val="single" w:color="E4E2DB" w:sz="1"/>
            </w:tcBorders>
            <w:shd w:fill="FFFFFF" w:val="clear"/>
            <w:tcMar>
              <w:top w:type="dxa" w:w="80"/>
              <w:left w:type="dxa" w:w="140"/>
              <w:bottom w:type="dxa" w:w="80"/>
              <w:right w:type="dxa" w:w="140"/>
            </w:tcMar>
          </w:tcPr>
          <w:p>
            <w:r>
              <w:rPr>
                <w:rFonts w:ascii="Arial" w:cs="Arial" w:eastAsia="Arial" w:hAnsi="Arial"/>
                <w:b w:val="false"/>
                <w:bCs w:val="false"/>
                <w:color w:val="0F1117"/>
                <w:sz w:val="20"/>
                <w:szCs w:val="20"/>
              </w:rPr>
              <w:t xml:space="preserve">SimpleDirectoryReader + SentenceSplitter</w:t>
            </w:r>
          </w:p>
        </w:tc>
        <w:tc>
          <w:tcPr>
            <w:tcW w:type="dxa" w:w="3120"/>
            <w:tcBorders>
              <w:top w:val="single" w:color="E4E2DB" w:sz="1"/>
              <w:left w:val="single" w:color="E4E2DB" w:sz="1"/>
              <w:bottom w:val="single" w:color="E4E2DB" w:sz="1"/>
              <w:right w:val="single" w:color="E4E2DB" w:sz="1"/>
            </w:tcBorders>
            <w:shd w:fill="FFFFFF" w:val="clear"/>
            <w:tcMar>
              <w:top w:type="dxa" w:w="80"/>
              <w:left w:type="dxa" w:w="140"/>
              <w:bottom w:type="dxa" w:w="80"/>
              <w:right w:type="dxa" w:w="140"/>
            </w:tcMar>
          </w:tcPr>
          <w:p>
            <w:r>
              <w:rPr>
                <w:rFonts w:ascii="Arial" w:cs="Arial" w:eastAsia="Arial" w:hAnsi="Arial"/>
                <w:b w:val="false"/>
                <w:bCs w:val="false"/>
                <w:color w:val="0F1117"/>
                <w:sz w:val="20"/>
                <w:szCs w:val="20"/>
              </w:rPr>
              <w:t xml:space="preserve">Manual file reading, chunking, encoding</w:t>
            </w:r>
          </w:p>
        </w:tc>
      </w:tr>
      <w:tr>
        <w:tc>
          <w:tcPr>
            <w:tcW w:type="dxa" w:w="3120"/>
            <w:tcBorders>
              <w:top w:val="single" w:color="E4E2DB" w:sz="1"/>
              <w:left w:val="single" w:color="E4E2DB" w:sz="1"/>
              <w:bottom w:val="single" w:color="E4E2DB" w:sz="1"/>
              <w:right w:val="single" w:color="E4E2DB" w:sz="1"/>
            </w:tcBorders>
            <w:shd w:fill="FAFAF8" w:val="clear"/>
            <w:tcMar>
              <w:top w:type="dxa" w:w="80"/>
              <w:left w:type="dxa" w:w="140"/>
              <w:bottom w:type="dxa" w:w="80"/>
              <w:right w:type="dxa" w:w="140"/>
            </w:tcMar>
          </w:tcPr>
          <w:p>
            <w:r>
              <w:rPr>
                <w:rFonts w:ascii="Arial" w:cs="Arial" w:eastAsia="Arial" w:hAnsi="Arial"/>
                <w:b/>
                <w:bCs/>
                <w:color w:val="0F6E56"/>
                <w:sz w:val="20"/>
                <w:szCs w:val="20"/>
              </w:rPr>
              <w:t xml:space="preserve">Retrieval</w:t>
            </w:r>
          </w:p>
        </w:tc>
        <w:tc>
          <w:tcPr>
            <w:tcW w:type="dxa" w:w="3120"/>
            <w:tcBorders>
              <w:top w:val="single" w:color="E4E2DB" w:sz="1"/>
              <w:left w:val="single" w:color="E4E2DB" w:sz="1"/>
              <w:bottom w:val="single" w:color="E4E2DB" w:sz="1"/>
              <w:right w:val="single" w:color="E4E2DB" w:sz="1"/>
            </w:tcBorders>
            <w:shd w:fill="FAFAF8" w:val="clear"/>
            <w:tcMar>
              <w:top w:type="dxa" w:w="80"/>
              <w:left w:type="dxa" w:w="140"/>
              <w:bottom w:type="dxa" w:w="80"/>
              <w:right w:type="dxa" w:w="140"/>
            </w:tcMar>
          </w:tcPr>
          <w:p>
            <w:r>
              <w:rPr>
                <w:rFonts w:ascii="Arial" w:cs="Arial" w:eastAsia="Arial" w:hAnsi="Arial"/>
                <w:b w:val="false"/>
                <w:bCs w:val="false"/>
                <w:color w:val="0F1117"/>
                <w:sz w:val="20"/>
                <w:szCs w:val="20"/>
              </w:rPr>
              <w:t xml:space="preserve">VectorStoreIndex.as_retriever()</w:t>
            </w:r>
          </w:p>
        </w:tc>
        <w:tc>
          <w:tcPr>
            <w:tcW w:type="dxa" w:w="3120"/>
            <w:tcBorders>
              <w:top w:val="single" w:color="E4E2DB" w:sz="1"/>
              <w:left w:val="single" w:color="E4E2DB" w:sz="1"/>
              <w:bottom w:val="single" w:color="E4E2DB" w:sz="1"/>
              <w:right w:val="single" w:color="E4E2DB" w:sz="1"/>
            </w:tcBorders>
            <w:shd w:fill="FAFAF8" w:val="clear"/>
            <w:tcMar>
              <w:top w:type="dxa" w:w="80"/>
              <w:left w:type="dxa" w:w="140"/>
              <w:bottom w:type="dxa" w:w="80"/>
              <w:right w:type="dxa" w:w="140"/>
            </w:tcMar>
          </w:tcPr>
          <w:p>
            <w:r>
              <w:rPr>
                <w:rFonts w:ascii="Arial" w:cs="Arial" w:eastAsia="Arial" w:hAnsi="Arial"/>
                <w:b w:val="false"/>
                <w:bCs w:val="false"/>
                <w:color w:val="0F1117"/>
                <w:sz w:val="20"/>
                <w:szCs w:val="20"/>
              </w:rPr>
              <w:t xml:space="preserve">FAISS + numpy cosine search</w:t>
            </w:r>
          </w:p>
        </w:tc>
      </w:tr>
      <w:tr>
        <w:tc>
          <w:tcPr>
            <w:tcW w:type="dxa" w:w="3120"/>
            <w:tcBorders>
              <w:top w:val="single" w:color="E4E2DB" w:sz="1"/>
              <w:left w:val="single" w:color="E4E2DB" w:sz="1"/>
              <w:bottom w:val="single" w:color="E4E2DB" w:sz="1"/>
              <w:right w:val="single" w:color="E4E2DB" w:sz="1"/>
            </w:tcBorders>
            <w:shd w:fill="FFFFFF" w:val="clear"/>
            <w:tcMar>
              <w:top w:type="dxa" w:w="80"/>
              <w:left w:type="dxa" w:w="140"/>
              <w:bottom w:type="dxa" w:w="80"/>
              <w:right w:type="dxa" w:w="140"/>
            </w:tcMar>
          </w:tcPr>
          <w:p>
            <w:r>
              <w:rPr>
                <w:rFonts w:ascii="Arial" w:cs="Arial" w:eastAsia="Arial" w:hAnsi="Arial"/>
                <w:b/>
                <w:bCs/>
                <w:color w:val="0F6E56"/>
                <w:sz w:val="20"/>
                <w:szCs w:val="20"/>
              </w:rPr>
              <w:t xml:space="preserve">Hybrid search</w:t>
            </w:r>
          </w:p>
        </w:tc>
        <w:tc>
          <w:tcPr>
            <w:tcW w:type="dxa" w:w="3120"/>
            <w:tcBorders>
              <w:top w:val="single" w:color="E4E2DB" w:sz="1"/>
              <w:left w:val="single" w:color="E4E2DB" w:sz="1"/>
              <w:bottom w:val="single" w:color="E4E2DB" w:sz="1"/>
              <w:right w:val="single" w:color="E4E2DB" w:sz="1"/>
            </w:tcBorders>
            <w:shd w:fill="FFFFFF" w:val="clear"/>
            <w:tcMar>
              <w:top w:type="dxa" w:w="80"/>
              <w:left w:type="dxa" w:w="140"/>
              <w:bottom w:type="dxa" w:w="80"/>
              <w:right w:type="dxa" w:w="140"/>
            </w:tcMar>
          </w:tcPr>
          <w:p>
            <w:r>
              <w:rPr>
                <w:rFonts w:ascii="Arial" w:cs="Arial" w:eastAsia="Arial" w:hAnsi="Arial"/>
                <w:b w:val="false"/>
                <w:bCs w:val="false"/>
                <w:color w:val="0F1117"/>
                <w:sz w:val="20"/>
                <w:szCs w:val="20"/>
              </w:rPr>
              <w:t xml:space="preserve">QueryFusionRetriever (built-in RRF)</w:t>
            </w:r>
          </w:p>
        </w:tc>
        <w:tc>
          <w:tcPr>
            <w:tcW w:type="dxa" w:w="3120"/>
            <w:tcBorders>
              <w:top w:val="single" w:color="E4E2DB" w:sz="1"/>
              <w:left w:val="single" w:color="E4E2DB" w:sz="1"/>
              <w:bottom w:val="single" w:color="E4E2DB" w:sz="1"/>
              <w:right w:val="single" w:color="E4E2DB" w:sz="1"/>
            </w:tcBorders>
            <w:shd w:fill="FFFFFF" w:val="clear"/>
            <w:tcMar>
              <w:top w:type="dxa" w:w="80"/>
              <w:left w:type="dxa" w:w="140"/>
              <w:bottom w:type="dxa" w:w="80"/>
              <w:right w:type="dxa" w:w="140"/>
            </w:tcMar>
          </w:tcPr>
          <w:p>
            <w:r>
              <w:rPr>
                <w:rFonts w:ascii="Arial" w:cs="Arial" w:eastAsia="Arial" w:hAnsi="Arial"/>
                <w:b w:val="false"/>
                <w:bCs w:val="false"/>
                <w:color w:val="0F1117"/>
                <w:sz w:val="20"/>
                <w:szCs w:val="20"/>
              </w:rPr>
              <w:t xml:space="preserve">Manual RRF dict accumulation</w:t>
            </w:r>
          </w:p>
        </w:tc>
      </w:tr>
      <w:tr>
        <w:tc>
          <w:tcPr>
            <w:tcW w:type="dxa" w:w="3120"/>
            <w:tcBorders>
              <w:top w:val="single" w:color="E4E2DB" w:sz="1"/>
              <w:left w:val="single" w:color="E4E2DB" w:sz="1"/>
              <w:bottom w:val="single" w:color="E4E2DB" w:sz="1"/>
              <w:right w:val="single" w:color="E4E2DB" w:sz="1"/>
            </w:tcBorders>
            <w:shd w:fill="FAFAF8" w:val="clear"/>
            <w:tcMar>
              <w:top w:type="dxa" w:w="80"/>
              <w:left w:type="dxa" w:w="140"/>
              <w:bottom w:type="dxa" w:w="80"/>
              <w:right w:type="dxa" w:w="140"/>
            </w:tcMar>
          </w:tcPr>
          <w:p>
            <w:r>
              <w:rPr>
                <w:rFonts w:ascii="Arial" w:cs="Arial" w:eastAsia="Arial" w:hAnsi="Arial"/>
                <w:b/>
                <w:bCs/>
                <w:color w:val="0F6E56"/>
                <w:sz w:val="20"/>
                <w:szCs w:val="20"/>
              </w:rPr>
              <w:t xml:space="preserve">Reranking</w:t>
            </w:r>
          </w:p>
        </w:tc>
        <w:tc>
          <w:tcPr>
            <w:tcW w:type="dxa" w:w="3120"/>
            <w:tcBorders>
              <w:top w:val="single" w:color="E4E2DB" w:sz="1"/>
              <w:left w:val="single" w:color="E4E2DB" w:sz="1"/>
              <w:bottom w:val="single" w:color="E4E2DB" w:sz="1"/>
              <w:right w:val="single" w:color="E4E2DB" w:sz="1"/>
            </w:tcBorders>
            <w:shd w:fill="FAFAF8" w:val="clear"/>
            <w:tcMar>
              <w:top w:type="dxa" w:w="80"/>
              <w:left w:type="dxa" w:w="140"/>
              <w:bottom w:type="dxa" w:w="80"/>
              <w:right w:type="dxa" w:w="140"/>
            </w:tcMar>
          </w:tcPr>
          <w:p>
            <w:r>
              <w:rPr>
                <w:rFonts w:ascii="Arial" w:cs="Arial" w:eastAsia="Arial" w:hAnsi="Arial"/>
                <w:b w:val="false"/>
                <w:bCs w:val="false"/>
                <w:color w:val="0F1117"/>
                <w:sz w:val="20"/>
                <w:szCs w:val="20"/>
              </w:rPr>
              <w:t xml:space="preserve">SentenceTransformerRerank postprocessor</w:t>
            </w:r>
          </w:p>
        </w:tc>
        <w:tc>
          <w:tcPr>
            <w:tcW w:type="dxa" w:w="3120"/>
            <w:tcBorders>
              <w:top w:val="single" w:color="E4E2DB" w:sz="1"/>
              <w:left w:val="single" w:color="E4E2DB" w:sz="1"/>
              <w:bottom w:val="single" w:color="E4E2DB" w:sz="1"/>
              <w:right w:val="single" w:color="E4E2DB" w:sz="1"/>
            </w:tcBorders>
            <w:shd w:fill="FAFAF8" w:val="clear"/>
            <w:tcMar>
              <w:top w:type="dxa" w:w="80"/>
              <w:left w:type="dxa" w:w="140"/>
              <w:bottom w:type="dxa" w:w="80"/>
              <w:right w:type="dxa" w:w="140"/>
            </w:tcMar>
          </w:tcPr>
          <w:p>
            <w:r>
              <w:rPr>
                <w:rFonts w:ascii="Arial" w:cs="Arial" w:eastAsia="Arial" w:hAnsi="Arial"/>
                <w:b w:val="false"/>
                <w:bCs w:val="false"/>
                <w:color w:val="0F1117"/>
                <w:sz w:val="20"/>
                <w:szCs w:val="20"/>
              </w:rPr>
              <w:t xml:space="preserve">CrossEncoder().predict() + argsort</w:t>
            </w:r>
          </w:p>
        </w:tc>
      </w:tr>
      <w:tr>
        <w:tc>
          <w:tcPr>
            <w:tcW w:type="dxa" w:w="3120"/>
            <w:tcBorders>
              <w:top w:val="single" w:color="E4E2DB" w:sz="1"/>
              <w:left w:val="single" w:color="E4E2DB" w:sz="1"/>
              <w:bottom w:val="single" w:color="E4E2DB" w:sz="1"/>
              <w:right w:val="single" w:color="E4E2DB" w:sz="1"/>
            </w:tcBorders>
            <w:shd w:fill="FFFFFF" w:val="clear"/>
            <w:tcMar>
              <w:top w:type="dxa" w:w="80"/>
              <w:left w:type="dxa" w:w="140"/>
              <w:bottom w:type="dxa" w:w="80"/>
              <w:right w:type="dxa" w:w="140"/>
            </w:tcMar>
          </w:tcPr>
          <w:p>
            <w:r>
              <w:rPr>
                <w:rFonts w:ascii="Arial" w:cs="Arial" w:eastAsia="Arial" w:hAnsi="Arial"/>
                <w:b/>
                <w:bCs/>
                <w:color w:val="0F6E56"/>
                <w:sz w:val="20"/>
                <w:szCs w:val="20"/>
              </w:rPr>
              <w:t xml:space="preserve">Synthesis</w:t>
            </w:r>
          </w:p>
        </w:tc>
        <w:tc>
          <w:tcPr>
            <w:tcW w:type="dxa" w:w="3120"/>
            <w:tcBorders>
              <w:top w:val="single" w:color="E4E2DB" w:sz="1"/>
              <w:left w:val="single" w:color="E4E2DB" w:sz="1"/>
              <w:bottom w:val="single" w:color="E4E2DB" w:sz="1"/>
              <w:right w:val="single" w:color="E4E2DB" w:sz="1"/>
            </w:tcBorders>
            <w:shd w:fill="FFFFFF" w:val="clear"/>
            <w:tcMar>
              <w:top w:type="dxa" w:w="80"/>
              <w:left w:type="dxa" w:w="140"/>
              <w:bottom w:type="dxa" w:w="80"/>
              <w:right w:type="dxa" w:w="140"/>
            </w:tcMar>
          </w:tcPr>
          <w:p>
            <w:r>
              <w:rPr>
                <w:rFonts w:ascii="Arial" w:cs="Arial" w:eastAsia="Arial" w:hAnsi="Arial"/>
                <w:b w:val="false"/>
                <w:bCs w:val="false"/>
                <w:color w:val="0F1117"/>
                <w:sz w:val="20"/>
                <w:szCs w:val="20"/>
              </w:rPr>
              <w:t xml:space="preserve">as_query_engine() — prompt handled</w:t>
            </w:r>
          </w:p>
        </w:tc>
        <w:tc>
          <w:tcPr>
            <w:tcW w:type="dxa" w:w="3120"/>
            <w:tcBorders>
              <w:top w:val="single" w:color="E4E2DB" w:sz="1"/>
              <w:left w:val="single" w:color="E4E2DB" w:sz="1"/>
              <w:bottom w:val="single" w:color="E4E2DB" w:sz="1"/>
              <w:right w:val="single" w:color="E4E2DB" w:sz="1"/>
            </w:tcBorders>
            <w:shd w:fill="FFFFFF" w:val="clear"/>
            <w:tcMar>
              <w:top w:type="dxa" w:w="80"/>
              <w:left w:type="dxa" w:w="140"/>
              <w:bottom w:type="dxa" w:w="80"/>
              <w:right w:type="dxa" w:w="140"/>
            </w:tcMar>
          </w:tcPr>
          <w:p>
            <w:r>
              <w:rPr>
                <w:rFonts w:ascii="Arial" w:cs="Arial" w:eastAsia="Arial" w:hAnsi="Arial"/>
                <w:b w:val="false"/>
                <w:bCs w:val="false"/>
                <w:color w:val="0F1117"/>
                <w:sz w:val="20"/>
                <w:szCs w:val="20"/>
              </w:rPr>
              <w:t xml:space="preserve">Manual f-string prompt + API call</w:t>
            </w:r>
          </w:p>
        </w:tc>
      </w:tr>
      <w:tr>
        <w:tc>
          <w:tcPr>
            <w:tcW w:type="dxa" w:w="3120"/>
            <w:tcBorders>
              <w:top w:val="single" w:color="E4E2DB" w:sz="1"/>
              <w:left w:val="single" w:color="E4E2DB" w:sz="1"/>
              <w:bottom w:val="single" w:color="E4E2DB" w:sz="1"/>
              <w:right w:val="single" w:color="E4E2DB" w:sz="1"/>
            </w:tcBorders>
            <w:shd w:fill="FAFAF8" w:val="clear"/>
            <w:tcMar>
              <w:top w:type="dxa" w:w="80"/>
              <w:left w:type="dxa" w:w="140"/>
              <w:bottom w:type="dxa" w:w="80"/>
              <w:right w:type="dxa" w:w="140"/>
            </w:tcMar>
          </w:tcPr>
          <w:p>
            <w:r>
              <w:rPr>
                <w:rFonts w:ascii="Arial" w:cs="Arial" w:eastAsia="Arial" w:hAnsi="Arial"/>
                <w:b/>
                <w:bCs/>
                <w:color w:val="0F6E56"/>
                <w:sz w:val="20"/>
                <w:szCs w:val="20"/>
              </w:rPr>
              <w:t xml:space="preserve">Evaluation</w:t>
            </w:r>
          </w:p>
        </w:tc>
        <w:tc>
          <w:tcPr>
            <w:tcW w:type="dxa" w:w="3120"/>
            <w:tcBorders>
              <w:top w:val="single" w:color="E4E2DB" w:sz="1"/>
              <w:left w:val="single" w:color="E4E2DB" w:sz="1"/>
              <w:bottom w:val="single" w:color="E4E2DB" w:sz="1"/>
              <w:right w:val="single" w:color="E4E2DB" w:sz="1"/>
            </w:tcBorders>
            <w:shd w:fill="FAFAF8" w:val="clear"/>
            <w:tcMar>
              <w:top w:type="dxa" w:w="80"/>
              <w:left w:type="dxa" w:w="140"/>
              <w:bottom w:type="dxa" w:w="80"/>
              <w:right w:type="dxa" w:w="140"/>
            </w:tcMar>
          </w:tcPr>
          <w:p>
            <w:r>
              <w:rPr>
                <w:rFonts w:ascii="Arial" w:cs="Arial" w:eastAsia="Arial" w:hAnsi="Arial"/>
                <w:b w:val="false"/>
                <w:bCs w:val="false"/>
                <w:color w:val="0F1117"/>
                <w:sz w:val="20"/>
                <w:szCs w:val="20"/>
              </w:rPr>
              <w:t xml:space="preserve">RAGAS integration built-in</w:t>
            </w:r>
          </w:p>
        </w:tc>
        <w:tc>
          <w:tcPr>
            <w:tcW w:type="dxa" w:w="3120"/>
            <w:tcBorders>
              <w:top w:val="single" w:color="E4E2DB" w:sz="1"/>
              <w:left w:val="single" w:color="E4E2DB" w:sz="1"/>
              <w:bottom w:val="single" w:color="E4E2DB" w:sz="1"/>
              <w:right w:val="single" w:color="E4E2DB" w:sz="1"/>
            </w:tcBorders>
            <w:shd w:fill="FAFAF8" w:val="clear"/>
            <w:tcMar>
              <w:top w:type="dxa" w:w="80"/>
              <w:left w:type="dxa" w:w="140"/>
              <w:bottom w:type="dxa" w:w="80"/>
              <w:right w:type="dxa" w:w="140"/>
            </w:tcMar>
          </w:tcPr>
          <w:p>
            <w:r>
              <w:rPr>
                <w:rFonts w:ascii="Arial" w:cs="Arial" w:eastAsia="Arial" w:hAnsi="Arial"/>
                <w:b w:val="false"/>
                <w:bCs w:val="false"/>
                <w:color w:val="0F1117"/>
                <w:sz w:val="20"/>
                <w:szCs w:val="20"/>
              </w:rPr>
              <w:t xml:space="preserve">Custom metric functions + test harness</w:t>
            </w:r>
          </w:p>
        </w:tc>
      </w:tr>
    </w:tbl>
    <w:p>
      <w:pPr>
        <w:spacing w:after="0" w:before="200"/>
      </w:pPr>
    </w:p>
    <w:p>
      <w:pPr>
        <w:pStyle w:val="Heading1"/>
        <w:pBdr>
          <w:bottom w:val="single" w:color="1D9E75" w:sz="4" w:space="6"/>
        </w:pBdr>
        <w:spacing w:after="160" w:before="320"/>
      </w:pPr>
      <w:r>
        <w:rPr>
          <w:rFonts w:ascii="Arial" w:cs="Arial" w:eastAsia="Arial" w:hAnsi="Arial"/>
          <w:b/>
          <w:bCs/>
          <w:color w:val="0F1117"/>
          <w:sz w:val="32"/>
          <w:szCs w:val="32"/>
        </w:rPr>
        <w:t xml:space="preserve">5. My eval checklist</w:t>
      </w:r>
    </w:p>
    <w:p>
      <w:pPr>
        <w:spacing w:after="120" w:before="0"/>
      </w:pPr>
      <w:r>
        <w:rPr>
          <w:rFonts w:ascii="Arial" w:cs="Arial" w:eastAsia="Arial" w:hAnsi="Arial"/>
          <w:color w:val="0F1117"/>
          <w:sz w:val="22"/>
          <w:szCs w:val="22"/>
        </w:rPr>
        <w:t xml:space="preserve">Before writing any test case I now work through this checklist:</w:t>
      </w:r>
    </w:p>
    <w:p>
      <w:pPr>
        <w:spacing w:after="0" w:before="80"/>
      </w:pPr>
    </w:p>
    <w:p>
      <w:pPr>
        <w:pStyle w:val="ListParagraph"/>
        <w:numPr>
          <w:ilvl w:val="0"/>
          <w:numId w:val="3"/>
        </w:numPr>
        <w:spacing w:after="100"/>
      </w:pPr>
      <w:r>
        <w:rPr>
          <w:rFonts w:ascii="Arial" w:cs="Arial" w:eastAsia="Arial" w:hAnsi="Arial"/>
          <w:color w:val="0F1117"/>
          <w:sz w:val="22"/>
          <w:szCs w:val="22"/>
        </w:rPr>
        <w:t xml:space="preserve">What is the failure mode I am testing for? Name it explicitly.</w:t>
      </w:r>
    </w:p>
    <w:p>
      <w:pPr>
        <w:pStyle w:val="ListParagraph"/>
        <w:numPr>
          <w:ilvl w:val="0"/>
          <w:numId w:val="3"/>
        </w:numPr>
        <w:spacing w:after="100"/>
      </w:pPr>
      <w:r>
        <w:rPr>
          <w:rFonts w:ascii="Arial" w:cs="Arial" w:eastAsia="Arial" w:hAnsi="Arial"/>
          <w:color w:val="0F1117"/>
          <w:sz w:val="22"/>
          <w:szCs w:val="22"/>
        </w:rPr>
        <w:t xml:space="preserve">Is this check structural (deterministic) or semantic (heuristic)? Label it.</w:t>
      </w:r>
    </w:p>
    <w:p>
      <w:pPr>
        <w:pStyle w:val="ListParagraph"/>
        <w:numPr>
          <w:ilvl w:val="0"/>
          <w:numId w:val="3"/>
        </w:numPr>
        <w:spacing w:after="100"/>
      </w:pPr>
      <w:r>
        <w:rPr>
          <w:rFonts w:ascii="Arial" w:cs="Arial" w:eastAsia="Arial" w:hAnsi="Arial"/>
          <w:color w:val="0F1117"/>
          <w:sz w:val="22"/>
          <w:szCs w:val="22"/>
        </w:rPr>
        <w:t xml:space="preserve">What is the minimum acceptable pass rate? Document the reasoning.</w:t>
      </w:r>
    </w:p>
    <w:p>
      <w:pPr>
        <w:pStyle w:val="ListParagraph"/>
        <w:numPr>
          <w:ilvl w:val="0"/>
          <w:numId w:val="3"/>
        </w:numPr>
        <w:spacing w:after="100"/>
      </w:pPr>
      <w:r>
        <w:rPr>
          <w:rFonts w:ascii="Arial" w:cs="Arial" w:eastAsia="Arial" w:hAnsi="Arial"/>
          <w:color w:val="0F1117"/>
          <w:sz w:val="22"/>
          <w:szCs w:val="22"/>
        </w:rPr>
        <w:t xml:space="preserve">Does this check target retrieval, generation, or end-to-end behaviour? Keep them separate.</w:t>
      </w:r>
    </w:p>
    <w:p>
      <w:pPr>
        <w:pStyle w:val="ListParagraph"/>
        <w:numPr>
          <w:ilvl w:val="0"/>
          <w:numId w:val="3"/>
        </w:numPr>
        <w:spacing w:after="100"/>
      </w:pPr>
      <w:r>
        <w:rPr>
          <w:rFonts w:ascii="Arial" w:cs="Arial" w:eastAsia="Arial" w:hAnsi="Arial"/>
          <w:color w:val="0F1117"/>
          <w:sz w:val="22"/>
          <w:szCs w:val="22"/>
        </w:rPr>
        <w:t xml:space="preserve">Will a future regression show up in this check? If not, is there another check that covers it?</w:t>
      </w:r>
    </w:p>
    <w:p>
      <w:pPr>
        <w:pStyle w:val="ListParagraph"/>
        <w:numPr>
          <w:ilvl w:val="0"/>
          <w:numId w:val="3"/>
        </w:numPr>
        <w:spacing w:after="100"/>
      </w:pPr>
      <w:r>
        <w:rPr>
          <w:rFonts w:ascii="Arial" w:cs="Arial" w:eastAsia="Arial" w:hAnsi="Arial"/>
          <w:color w:val="0F1117"/>
          <w:sz w:val="22"/>
          <w:szCs w:val="22"/>
        </w:rPr>
        <w:t xml:space="preserve">What would a false positive look like? A false negative? Am I more worried about which?</w:t>
      </w:r>
    </w:p>
    <w:p>
      <w:pPr>
        <w:pStyle w:val="ListParagraph"/>
        <w:numPr>
          <w:ilvl w:val="0"/>
          <w:numId w:val="3"/>
        </w:numPr>
        <w:spacing w:after="100"/>
      </w:pPr>
      <w:r>
        <w:rPr>
          <w:rFonts w:ascii="Arial" w:cs="Arial" w:eastAsia="Arial" w:hAnsi="Arial"/>
          <w:color w:val="0F1117"/>
          <w:sz w:val="22"/>
          <w:szCs w:val="22"/>
        </w:rPr>
        <w:t xml:space="preserve">Is there a simpler proxy that is equally informative? Prefer simpler checks.</w:t>
      </w:r>
    </w:p>
    <w:p>
      <w:pPr>
        <w:spacing w:after="0" w:before="120"/>
      </w:pPr>
    </w:p>
    <w:p>
      <w:pPr>
        <w:pBdr>
          <w:left w:val="single" w:color="1D9E75" w:sz="12" w:space="12"/>
        </w:pBdr>
        <w:spacing w:after="160" w:before="160"/>
        <w:ind w:left="720" w:right="720"/>
      </w:pPr>
      <w:r>
        <w:rPr>
          <w:rFonts w:ascii="Arial" w:cs="Arial" w:eastAsia="Arial" w:hAnsi="Arial"/>
          <w:b/>
          <w:bCs/>
          <w:color w:val="1D9E75"/>
          <w:sz w:val="20"/>
          <w:szCs w:val="20"/>
        </w:rPr>
        <w:t xml:space="preserve">The hard discipline:  </w:t>
      </w:r>
      <w:r>
        <w:rPr>
          <w:rFonts w:ascii="Arial" w:cs="Arial" w:eastAsia="Arial" w:hAnsi="Arial"/>
          <w:color w:val="0F6E56"/>
          <w:sz w:val="20"/>
          <w:szCs w:val="20"/>
        </w:rPr>
        <w:t xml:space="preserve">The hardest discipline is writing checks for things you cannot easily regex. Faithfulness (does the answer hallucinate?), coherence (is the reasoning sound?), and relevance (does it actually answer the question?) all resist simple structural checks. For these, either build a human annotation workflow or use LLM-as-judge with calibration. Never skip them just because they are hard.</w:t>
      </w:r>
    </w:p>
    <w:p>
      <w:pPr>
        <w:spacing w:after="0" w:before="200"/>
      </w:pPr>
    </w:p>
    <w:p>
      <w:pPr>
        <w:pStyle w:val="Heading1"/>
        <w:pBdr>
          <w:bottom w:val="single" w:color="1D9E75" w:sz="4" w:space="6"/>
        </w:pBdr>
        <w:spacing w:after="160" w:before="320"/>
      </w:pPr>
      <w:r>
        <w:rPr>
          <w:rFonts w:ascii="Arial" w:cs="Arial" w:eastAsia="Arial" w:hAnsi="Arial"/>
          <w:b/>
          <w:bCs/>
          <w:color w:val="0F1117"/>
          <w:sz w:val="32"/>
          <w:szCs w:val="32"/>
        </w:rPr>
        <w:t xml:space="preserve">6. What I would do differently</w:t>
      </w:r>
    </w:p>
    <w:p>
      <w:pPr>
        <w:spacing w:after="120" w:before="0"/>
      </w:pPr>
      <w:r>
        <w:rPr>
          <w:rFonts w:ascii="Arial" w:cs="Arial" w:eastAsia="Arial" w:hAnsi="Arial"/>
          <w:color w:val="0F1117"/>
          <w:sz w:val="22"/>
          <w:szCs w:val="22"/>
        </w:rPr>
        <w:t xml:space="preserve">Looking back at the week:</w:t>
      </w:r>
    </w:p>
    <w:p>
      <w:pPr>
        <w:spacing w:after="0" w:before="80"/>
      </w:pPr>
    </w:p>
    <w:p>
      <w:pPr>
        <w:pStyle w:val="ListParagraph"/>
        <w:numPr>
          <w:ilvl w:val="0"/>
          <w:numId w:val="2"/>
        </w:numPr>
        <w:spacing w:after="80"/>
      </w:pPr>
      <w:r>
        <w:rPr>
          <w:rFonts w:ascii="Arial" w:cs="Arial" w:eastAsia="Arial" w:hAnsi="Arial"/>
          <w:b w:val="false"/>
          <w:bCs w:val="false"/>
          <w:color w:val="0F1117"/>
          <w:sz w:val="22"/>
          <w:szCs w:val="22"/>
        </w:rPr>
        <w:t xml:space="preserve">I would write the eval suite before the system. Writing checks first forces you to define what 'correct' means before you see output, which prevents anchoring to whatever the model produces.</w:t>
      </w:r>
    </w:p>
    <w:p>
      <w:pPr>
        <w:pStyle w:val="ListParagraph"/>
        <w:numPr>
          <w:ilvl w:val="0"/>
          <w:numId w:val="2"/>
        </w:numPr>
        <w:spacing w:after="80"/>
      </w:pPr>
      <w:r>
        <w:rPr>
          <w:rFonts w:ascii="Arial" w:cs="Arial" w:eastAsia="Arial" w:hAnsi="Arial"/>
          <w:b w:val="false"/>
          <w:bCs w:val="false"/>
          <w:color w:val="0F1117"/>
          <w:sz w:val="22"/>
          <w:szCs w:val="22"/>
        </w:rPr>
        <w:t xml:space="preserve">I would separate the search mock from the eval fixture. The mock currently runs inside the eval loop, so any change to mock data silently changes test results. The fixture should be frozen.</w:t>
      </w:r>
    </w:p>
    <w:p>
      <w:pPr>
        <w:pStyle w:val="ListParagraph"/>
        <w:numPr>
          <w:ilvl w:val="0"/>
          <w:numId w:val="2"/>
        </w:numPr>
        <w:spacing w:after="80"/>
      </w:pPr>
      <w:r>
        <w:rPr>
          <w:rFonts w:ascii="Arial" w:cs="Arial" w:eastAsia="Arial" w:hAnsi="Arial"/>
          <w:b w:val="false"/>
          <w:bCs w:val="false"/>
          <w:color w:val="0F1117"/>
          <w:sz w:val="22"/>
          <w:szCs w:val="22"/>
        </w:rPr>
        <w:t xml:space="preserve">I would add a latency check. A system that takes 45 seconds to answer is not production-ready regardless of citation quality. p95 latency should be a first-class eval dimension.</w:t>
      </w:r>
    </w:p>
    <w:p>
      <w:pPr>
        <w:pStyle w:val="ListParagraph"/>
        <w:numPr>
          <w:ilvl w:val="0"/>
          <w:numId w:val="2"/>
        </w:numPr>
        <w:spacing w:after="80"/>
      </w:pPr>
      <w:r>
        <w:rPr>
          <w:rFonts w:ascii="Arial" w:cs="Arial" w:eastAsia="Arial" w:hAnsi="Arial"/>
          <w:b w:val="false"/>
          <w:bCs w:val="false"/>
          <w:color w:val="0F1117"/>
          <w:sz w:val="22"/>
          <w:szCs w:val="22"/>
        </w:rPr>
        <w:t xml:space="preserve">I would add a diversity check using ROUGE-L deduplication. The MMR implementation prevents duplicate chunks at retrieval time, but I have no eval verifying this property holds end-to-end.</w:t>
      </w:r>
    </w:p>
    <w:p>
      <w:pPr>
        <w:pStyle w:val="ListParagraph"/>
        <w:numPr>
          <w:ilvl w:val="0"/>
          <w:numId w:val="2"/>
        </w:numPr>
        <w:spacing w:after="80"/>
      </w:pPr>
      <w:r>
        <w:rPr>
          <w:rFonts w:ascii="Arial" w:cs="Arial" w:eastAsia="Arial" w:hAnsi="Arial"/>
          <w:b w:val="false"/>
          <w:bCs w:val="false"/>
          <w:color w:val="0F1117"/>
          <w:sz w:val="22"/>
          <w:szCs w:val="22"/>
        </w:rPr>
        <w:t xml:space="preserve">I would run the eval suite on a stratified topic sample — not just the four I chose. The current cases are all well-documented, English-language topics. Edge cases live at the margins.</w:t>
      </w:r>
    </w:p>
    <w:p>
      <w:pPr>
        <w:spacing w:after="0" w:before="200"/>
      </w:pPr>
    </w:p>
    <w:p>
      <w:pPr>
        <w:pBdr>
          <w:bottom w:val="single" w:color="E4E2DB" w:sz="2" w:space="1"/>
        </w:pBdr>
        <w:spacing w:after="200" w:before="200"/>
      </w:pPr>
    </w:p>
    <w:p>
      <w:pPr>
        <w:spacing w:after="0" w:before="120"/>
      </w:pPr>
    </w:p>
    <w:p>
      <w:pPr>
        <w:spacing w:after="40" w:before="0"/>
      </w:pPr>
      <w:r>
        <w:rPr>
          <w:rFonts w:ascii="Arial" w:cs="Arial" w:eastAsia="Arial" w:hAnsi="Arial"/>
          <w:b/>
          <w:bCs/>
          <w:color w:val="0F6E56"/>
          <w:sz w:val="24"/>
          <w:szCs w:val="24"/>
        </w:rPr>
        <w:t xml:space="preserve">Final thought</w:t>
      </w:r>
    </w:p>
    <w:p>
      <w:pPr>
        <w:spacing w:after="120" w:before="0"/>
      </w:pPr>
      <w:r>
        <w:rPr>
          <w:rFonts w:ascii="Arial" w:cs="Arial" w:eastAsia="Arial" w:hAnsi="Arial"/>
          <w:color w:val="0F1117"/>
          <w:sz w:val="22"/>
          <w:szCs w:val="22"/>
        </w:rPr>
        <w:t xml:space="preserve">Evaluation is not a gate at the end of development. It is a feedback loop that runs throughout. The eval suite I built this week will be wrong — some checks will be too strict, others too lenient, and some failure modes will be missing entirely. That is expected. The discipline is in treating the suite as a living document: update it when the system changes, extend it when production surfaces new failures, and never let it drift into a checkbox exercise.</w:t>
      </w:r>
    </w:p>
    <w:p>
      <w:pPr>
        <w:spacing w:after="0" w:before="120"/>
      </w:pPr>
    </w:p>
    <w:p>
      <w:pPr>
        <w:spacing w:after="0" w:before="0"/>
      </w:pPr>
      <w:r>
        <w:rPr>
          <w:rFonts w:ascii="Arial" w:cs="Arial" w:eastAsia="Arial" w:hAnsi="Arial"/>
          <w:color w:val="6B6965"/>
          <w:sz w:val="18"/>
          <w:szCs w:val="18"/>
        </w:rPr>
        <w:t xml:space="preserve">Ph 224/225 · Week 5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2DB" w:sz="2" w:space="6"/>
      </w:pBdr>
      <w:tabs>
        <w:tab w:val="right" w:pos="9360"/>
      </w:tabs>
      <w:spacing w:before="0"/>
    </w:pPr>
    <w:r>
      <w:rPr>
        <w:rFonts w:ascii="Arial" w:cs="Arial" w:eastAsia="Arial" w:hAnsi="Arial"/>
        <w:color w:val="6B6965"/>
        <w:sz w:val="18"/>
        <w:szCs w:val="18"/>
      </w:rPr>
      <w:t xml:space="preserve">Draft — Week 5 Build Day</w:t>
    </w:r>
    <w:r>
      <w:rPr>
        <w:rFonts w:ascii="Arial" w:cs="Arial" w:eastAsia="Arial" w:hAnsi="Arial"/>
        <w:sz w:val="18"/>
        <w:szCs w:val="18"/>
      </w:rPr>
      <w:t xml:space="preserve">	</w:t>
    </w:r>
    <w:r>
      <w:rPr>
        <w:rFonts w:ascii="Arial" w:cs="Arial" w:eastAsia="Arial" w:hAnsi="Arial"/>
        <w:color w:val="6B6965"/>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6"/>
      </w:pBdr>
      <w:tabs>
        <w:tab w:val="right" w:pos="9360"/>
      </w:tabs>
      <w:spacing w:after="0"/>
    </w:pPr>
    <w:r>
      <w:rPr>
        <w:rFonts w:ascii="Arial" w:cs="Arial" w:eastAsia="Arial" w:hAnsi="Arial"/>
        <w:b/>
        <w:bCs/>
        <w:color w:val="0F6E56"/>
        <w:sz w:val="18"/>
        <w:szCs w:val="18"/>
      </w:rPr>
      <w:t xml:space="preserve">My Eval Philosophy</w:t>
    </w:r>
    <w:r>
      <w:rPr>
        <w:rFonts w:ascii="Arial" w:cs="Arial" w:eastAsia="Arial" w:hAnsi="Arial"/>
        <w:sz w:val="18"/>
        <w:szCs w:val="18"/>
      </w:rPr>
      <w:t xml:space="preserve">	</w:t>
    </w:r>
    <w:r>
      <w:rPr>
        <w:rFonts w:ascii="Arial" w:cs="Arial" w:eastAsia="Arial" w:hAnsi="Arial"/>
        <w:color w:val="6B6965"/>
        <w:sz w:val="18"/>
        <w:szCs w:val="18"/>
      </w:rPr>
      <w:t xml:space="preserve">Ph 224/225 — Week 5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1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111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6E5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11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2026-04-16T00:08:28.049Z</dcterms:created>
  <dcterms:modified xsi:type="dcterms:W3CDTF">2026-04-16T00:08:28.050Z</dcterms:modified>
</cp:coreProperties>
</file>

<file path=docProps/custom.xml><?xml version="1.0" encoding="utf-8"?>
<Properties xmlns="http://schemas.openxmlformats.org/officeDocument/2006/custom-properties" xmlns:vt="http://schemas.openxmlformats.org/officeDocument/2006/docPropsVTypes"/>
</file>