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Phase 1 Concepts — Personal Gap Analysis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Week 3  ·  28 March 2026  ·  Session 17  ·  60 min review</w:t>
      </w:r>
    </w:p>
    <w:p>
      <w:pPr>
        <w:pBdr>
          <w:bottom w:val="single" w:color="1E4D8C" w:sz="8" w:space="4"/>
        </w:pBdr>
        <w:spacing w:after="20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Rating Key  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Strong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= confident &amp; can explain   </w:t>
      </w:r>
      <w:r>
        <w:rPr>
          <w:rFonts w:ascii="Arial" w:cs="Arial" w:eastAsia="Arial" w:hAnsi="Arial"/>
          <w:b/>
          <w:bCs/>
          <w:color w:val="1E4D8C"/>
          <w:sz w:val="18"/>
          <w:szCs w:val="18"/>
        </w:rPr>
        <w:t xml:space="preserve">Good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= solid, minor gaps  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Shaky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= concept understood but gaps in application  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Gap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= needs significant work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4D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Audit</w:t>
      </w:r>
    </w:p>
    <w:p>
      <w:pPr>
        <w:spacing w:after="0" w:before="8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3140"/>
        <w:gridCol w:w="1285"/>
        <w:gridCol w:w="2426"/>
        <w:gridCol w:w="2426"/>
        <w:gridCol w:w="2369"/>
      </w:tblGrid>
      <w:tr>
        <w:trPr>
          <w:tblHeader/>
        </w:trPr>
        <w:tc>
          <w:tcPr>
            <w:tcW w:type="dxa" w:w="1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Sub-topics Covered</w:t>
            </w:r>
          </w:p>
        </w:tc>
        <w:tc>
          <w:tcPr>
            <w:tcW w:type="dxa" w:w="12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Know Well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 Identified</w:t>
            </w:r>
          </w:p>
        </w:tc>
        <w:tc>
          <w:tcPr>
            <w:tcW w:type="dxa" w:w="23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to Close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APIs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 vs HTTP · Auth (API keys, OAuth) · Request/response structure · Rate limits · Error codes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 patterns, request/response cycle, status codes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Tokens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Tokenisation · Context windows · Token costs · Prompt vs completion tokens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Good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General concept, cost implications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BPE tokenisation internals; edge cases with non-English text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Experiment with tokeniser playground; review BPE paper 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Prompting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Zero/few-shot · Chain-of-thought · Roles &amp; personas · Prompt injection · Temperature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CoT, few-shot, system/user structure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Vector representations · Similarity search · Embedding models · Dimensionality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Shaky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High-level concept of semantic similarity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How embeddings are trained; cosine vs dot-product trade-offs; chunking strategies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small similarity search demo; re-read embedding model docs; note chunking rules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Retrieval pipeline · Chunking · Vector DB · Reranking · Context stuffing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Shaky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Basic pipeline (chunk → embed → retrieve → generate)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Reranking approaches; hybrid search; failure modes (hallucination on retrieved context)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a mini RAG app; study reranking models; review RAG failure mode case studies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mode · Function calling · Pydantic/schema validation · Reliable extraction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Good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mode, basic function calling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 validation with Pydantic; handling partial/malformed outputs gracefully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Practice Pydantic model definitions; test edge cases in structured extraction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D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Priority Actions</w:t>
      </w:r>
    </w:p>
    <w:p>
      <w:pPr>
        <w:spacing w:after="0" w:before="8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7348"/>
        <w:gridCol w:w="3006"/>
        <w:gridCol w:w="2004"/>
      </w:tblGrid>
      <w:tr>
        <w:trPr>
          <w:tblHeader/>
        </w:trPr>
        <w:tc>
          <w:tcPr>
            <w:tcW w:type="dxa" w:w="10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3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0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a mini similarity search demo using OpenAI / Cohere embeddings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~45 min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a minimal RAG pipeline (PDF → chunks → vector DB → query)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~60 min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Write 3 Pydantic models; test structured extraction with edge-case inputs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 BPE tokenisation explainer; run token count experiments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~20 min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D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Go-To Resources</w:t>
      </w:r>
    </w:p>
    <w:p>
      <w:pPr>
        <w:spacing w:after="0" w:before="8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8"/>
        <w:gridCol w:w="5709"/>
        <w:gridCol w:w="5652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OpenAI Embeddings Guide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platform.openai.com/docs/guides/embeddings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Pinecone: What are Vector Embeddings?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pinecone.io/learn/vector-embeddings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LangChain RAG Tutorial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python.langchain.com/docs/tutorials/rag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Anthropic: Contextual Retrieval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anthropic.com/news/contextual-retrieval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Tokens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OpenAI Tokeniser Playground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platform.openai.com/tokenizer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Pydantic Docs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18"/>
                <w:szCs w:val="18"/>
              </w:rPr>
              <w:t xml:space="preserve">docs.pydantic.dev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E4D8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Reflection Notes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Use this space to jot down anything that came up during the session — surprising connections, questions to follow up, concepts to re-explain out loud.</w:t>
      </w:r>
    </w:p>
    <w:p>
      <w:pPr>
        <w:pBdr>
          <w:bottom w:val="single" w:color="E5E7EB" w:sz="3" w:space="12"/>
        </w:pBdr>
        <w:spacing w:after="0" w:before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E5E7EB" w:sz="3" w:space="12"/>
        </w:pBdr>
        <w:spacing w:after="0" w:before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E5E7EB" w:sz="3" w:space="12"/>
        </w:pBdr>
        <w:spacing w:after="0" w:before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E5E7EB" w:sz="3" w:space="12"/>
        </w:pBdr>
        <w:spacing w:after="0" w:before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E5E7EB" w:sz="3" w:space="12"/>
        </w:pBdr>
        <w:spacing w:after="0" w:before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2026-03-29T12:46:01.917Z</dcterms:created>
  <dcterms:modified xsi:type="dcterms:W3CDTF">2026-03-29T12:46:01.918Z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