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README.md with details of changes to the interface, this includes new environment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container parameters.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Increase the version numbers in any examples files and the README.md to the new version that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merge the Pull Request in once you have the sign-off of two other developers, or if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the second reviewer to merge it for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[INSERT EMAIL ADDRESS]. 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