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17.png" ContentType="image/png"/>
  <Override PartName="/word/media/rId10.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808c8cffb36cd7c71942a068da11385ef6f4db"/>
    <w:p>
      <w:pPr>
        <w:pStyle w:val="Heading1"/>
      </w:pPr>
      <w:r>
        <w:t xml:space="preserve">Cross-modal appearance, not field-of-view mismatch, is the dominant constraint on foundation-model registration in the AmalgaMatch correlative-microscopy benchmark</w:t>
      </w:r>
    </w:p>
    <w:p>
      <w:pPr>
        <w:pStyle w:val="FirstParagraph"/>
      </w:pPr>
      <w:r>
        <w:rPr>
          <w:b/>
          <w:bCs/>
        </w:rPr>
        <w:t xml:space="preserve">Frank Cai</w:t>
      </w:r>
      <w:r>
        <w:t xml:space="preserve"> </w:t>
      </w:r>
      <w:r>
        <w:t xml:space="preserve">Independent Researcher · frankyc11223@gmail.com · ORCID: 0009-0003-0041-1459</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appearance and can differ in field of view (FOV) by orders of magnitude, defeating classical registration. We tested whether a scale-aware pyramidal wrapper around pretrained dense matchers (RoMa, ELoFTR, MatchAnything) could lift cross-modal registration on AmalgaMatch (187 pairs, 19 subsets). A naive tiling pyramid degrades matchers badly: because they never abstain, every tile floods robust estimation with thousands of confident matches (median error 76→1794 px). A redesigned verified coarse-to-fine wrapper recovers a small but significant gain (SR@10 0.10→0.12,</w:t>
      </w:r>
      <w:r>
        <w:t xml:space="preserve"> </w:t>
      </w:r>
      <w:r>
        <w:rPr>
          <w:i/>
          <w:iCs/>
        </w:rPr>
        <w:t xml:space="preserve">p</w:t>
      </w:r>
      <w:r>
        <w:t xml:space="preserve"> </w:t>
      </w:r>
      <w:r>
        <w:t xml:space="preserve">= 0.017) without losing any pair, yet FOV ≤5% success stays zero. The largest lever was the backbone: cross-modal-trained MatchAnything-RoMa gave the only significant gain over zero-shot (SR@10 +0.032,</w:t>
      </w:r>
      <w:r>
        <w:t xml:space="preserve"> </w:t>
      </w:r>
      <w:r>
        <w:rPr>
          <w:i/>
          <w:iCs/>
        </w:rPr>
        <w:t xml:space="preserve">p</w:t>
      </w:r>
      <w:r>
        <w:t xml:space="preserve"> </w:t>
      </w:r>
      <w:r>
        <w:t xml:space="preserve">= 0.018), among high-FOV pairs. A controlled FOV ladder isolating scale (appearance fixed) shows the wrapper triples success at 10% FOV (0.07→0.23,</w:t>
      </w:r>
      <w:r>
        <w:t xml:space="preserve"> </w:t>
      </w:r>
      <w:r>
        <w:rPr>
          <w:i/>
          <w:iCs/>
        </w:rPr>
        <w:t xml:space="preserve">p</w:t>
      </w:r>
      <w:r>
        <w:t xml:space="preserve"> </w:t>
      </w:r>
      <w:r>
        <w:t xml:space="preserve">= 0.0014), so the scale mechanism is sound. Decoder-only fine-tuning cut in-distribution TEM error ~5×, but across three seeds regressed SR@20 (0.393→0.30) by forgetting untrained modalities, which L2-SP did not fix. Appearance, not scale, is the dominant uncontrolled factor on AmalgaMatch, reached by elimination rather than a direct appearance sweep.</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Correlative microscopy spatially associates measurements of a single specimen acquired by different instruments: scanning electron microscopy (SEM), electron backscatter diffraction (EBSD), transmission electron microscopy (TEM), optical light microscopy (LOM), and derived modalities such as image-quality and inverse-pole-figure maps. The aim is to read out structure, chemistry, crystallography, and mechanics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Registration is that step, and it is the bottleneck. Unlike natural-image or remote-sensing registration, correlative microscopy couples two compounding difficulties. The modalities share little mutual information, because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assume shared appearance and comparable scale, so they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One property of these detector-free dense matchers becomes central below. Sparse learned matchers built on keypoint detection and attention-based assignment [15,16] can decline to match; dense matchers instead emit a confident correspondence at essentially every pixel and never abstain. All of these models are trained almost entirely on macroscale imagery, which raises the question of whether they transfer to materials microstructures, and of whether their failures at severe FOV mismatch can be repaired without retraining.</w:t>
      </w:r>
    </w:p>
    <w:p>
      <w:pPr>
        <w:pStyle w:val="BodyText"/>
      </w:pPr>
      <w:r>
        <w:t xml:space="preserve">A natural hypothesis is that the FOV gap is the dominant problem and that a scale-aware wrapper can close it: crop the wide-FOV source into a pyramid of target-resolution tiles, match each tile against the narrow-FOV target, pool the correspondences, and fit a single global transform by robust estimation. The appeal is that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the result is as much diagnostic as methodological. The naive pyramid does not merely fail to help. It destroys the matchers it wraps, for a structural reason we trace to the fact that dense matchers never abstain. A redesigned verified coarse-to-fine wrapper recovers a small, real gain, but it cannot reach the severe-FOV regime. The single largest off-the-shelf lever turns out to be the backbone rather than the wrapper. A controlled FOV ladder then separates scale from appearance on real pairs and shows that the wrapper mechanism is in fact sound for scale; the real benchmark simply never presents scale as the isolated failure mode, because the low-FOV pairs are also the most appearance-divergent. Finally we attack appearance directly with materials-domain fine-tuning, observe forgetting of untrained modality combinations, and use a three-seed study to separate what a one-line weight anchor can and cannot fix. The contributions are four. First, a mechanistic account of why pyramidal wrappers break non-abstaining dense matchers, together with a verified coarse-to-fine wrapper that does not (Fig. 1a). Second, a controlled FOV-ladder protocol that decouples scale from appearance and validates the wrapper’s scale mechanism (Fig. 1b). Third, evidence that cross-modal appearance, not FOV, is the dominant constraint on this benchmark. Fourth, a three-seed robustness analysis of decoder-only fine-tuning that diagnoses breadth of modality coverage, not the choice of optimiser or weight anchor, as the binding constraint on forgetting, together with the fine-tuning recipe itself (a large, seed-robust in-distribution gain with a modest, seed-noisy held-out regression).</w:t>
      </w:r>
    </w:p>
    <w:p>
      <w:pPr>
        <w:pStyle w:val="CaptionedFigure"/>
      </w:pPr>
      <w:r>
        <w:drawing>
          <wp:inline>
            <wp:extent cx="5334000" cy="2217505"/>
            <wp:effectExtent b="0" l="0" r="0" t="0"/>
            <wp:docPr descr="Figure 1" title="" id="11" name="Picture"/>
            <a:graphic>
              <a:graphicData uri="http://schemas.openxmlformats.org/drawingml/2006/picture">
                <pic:pic>
                  <pic:nvPicPr>
                    <pic:cNvPr descr="figs/method_schematic.png" id="12" name="Picture"/>
                    <pic:cNvPicPr>
                      <a:picLocks noChangeArrowheads="1" noChangeAspect="1"/>
                    </pic:cNvPicPr>
                  </pic:nvPicPr>
                  <pic:blipFill>
                    <a:blip r:embed="rId10"/>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w:t>
      </w:r>
      <w:r>
        <w:rPr>
          <w:b/>
          <w:bCs/>
        </w:rPr>
        <w:t xml:space="preserve">a</w:t>
      </w:r>
      <w:r>
        <w:t xml:space="preserve">) The verified coarse-to-fine wrapper (pyramid v2): a direct match yields an incumbent transform; candidate tile-search and zoom stages are invoked only on weak support and accepted only when a mutual-information-on-overlap verifier beats the incumbent, making the wrapper monotone with respect to the direct fit. (</w:t>
      </w:r>
      <w:r>
        <w:rPr>
          <w:b/>
          <w:bCs/>
        </w:rPr>
        <w:t xml:space="preserve">b</w:t>
      </w:r>
      <w:r>
        <w:t xml:space="preserve">) The FOV-ladder protocol crops real base-matchable pairs to shrinking field-of-view ratios with appearance, modality, and pixel size fixed, isolating scale as the only variable.</w:t>
      </w:r>
    </w:p>
    <w:bookmarkEnd w:id="13"/>
    <w:bookmarkStart w:id="34" w:name="results"/>
    <w:p>
      <w:pPr>
        <w:pStyle w:val="Heading2"/>
      </w:pPr>
      <w:r>
        <w:t xml:space="preserve">Results</w:t>
      </w:r>
    </w:p>
    <w:bookmarkStart w:id="20"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use the GT-implied area ratio; only four pairs sit below ratio 0.05 under any definition.</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and it dominates the MatchAnything-ELoFTR configuration everywhere (SR@10 0.10–0.13 vs. 0.01–0.02), including every low-FOV stratum, which supports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p>
      <w:pPr>
        <w:pStyle w:val="CaptionedFigure"/>
      </w:pPr>
      <w:r>
        <w:drawing>
          <wp:inline>
            <wp:extent cx="5334000" cy="2667000"/>
            <wp:effectExtent b="0" l="0" r="0" t="0"/>
            <wp:docPr descr="Figure 2" title="" id="15" name="Picture"/>
            <a:graphic>
              <a:graphicData uri="http://schemas.openxmlformats.org/drawingml/2006/picture">
                <pic:pic>
                  <pic:nvPicPr>
                    <pic:cNvPr descr="figs/sr_bars.png" id="16" name="Picture"/>
                    <pic:cNvPicPr>
                      <a:picLocks noChangeArrowheads="1" noChangeAspect="1"/>
                    </pic:cNvPicPr>
                  </pic:nvPicPr>
                  <pic:blipFill>
                    <a:blip r:embed="rId1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 Pyramid v1 collapses RoMa; pyramid v2 recovers a small significant gain without losing pairs; the MatchAnything-RoMa backbone provides the only significant headline gain over the zero-shot bar.</w:t>
      </w:r>
    </w:p>
    <w:p>
      <w:pPr>
        <w:pStyle w:val="CaptionedFigure"/>
      </w:pPr>
      <w:r>
        <w:drawing>
          <wp:inline>
            <wp:extent cx="5334000" cy="2667000"/>
            <wp:effectExtent b="0" l="0" r="0" t="0"/>
            <wp:docPr descr="Figure 3" title="" id="18" name="Picture"/>
            <a:graphic>
              <a:graphicData uri="http://schemas.openxmlformats.org/drawingml/2006/picture">
                <pic:pic>
                  <pic:nvPicPr>
                    <pic:cNvPr descr="figs/group_heatmap.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 Performance is concentrated in orientation-mapping and serial-sectioning groups; dislocation characterisation and low-mutual-information pairs remain hard for every configuration, consistent with appearance (not scale) being the dominant constraint.</w:t>
      </w:r>
    </w:p>
    <w:bookmarkEnd w:id="20"/>
    <w:bookmarkStart w:id="21"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(pyramid v1) tiles the source, matches each tile, pools all correspondences, and fits one transform. It does not help; it destroys the backbone. RoMa’s median ED rose from 76 to 1794 px, and 106 of 187 pairs became hard failures (Fig. 2). The mechanism is structural, and it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collapses the inlier fraction from 0.114 (direct) to 0.005, and leaves MAGSAC++ no consensus to find. This is a property of the non-abstaining dense-matcher class rather than a tuning artefact, and it predicts that any pool-then-fit pyramid will fail on these backbones regardless of tile size or overlap.</w:t>
      </w:r>
    </w:p>
    <w:bookmarkEnd w:id="21"/>
    <w:bookmarkStart w:id="22" w:name="X64a8d4e2c69040073e9061a26cd7205554badae"/>
    <w:p>
      <w:pPr>
        <w:pStyle w:val="Heading3"/>
      </w:pPr>
      <w:r>
        <w:t xml:space="preserve">A verified coarse-to-fine wrapper recovers a small, real gain</w:t>
      </w:r>
    </w:p>
    <w:p>
      <w:pPr>
        <w:pStyle w:val="FirstParagraph"/>
      </w:pPr>
      <w:r>
        <w:t xml:space="preserve">We redesigned the wrapper so that it never pools blindly (pyramid v2; Fig. 1a). It matches the full pair directly first. It then invokes candidate stages, namely tile search over a scaled source grid followed by zoom refinement on the best region, but only when direct support is weak, and it accepts a candidate transform only if a mutual-information-on-overlap verifier scores it above the incumbent. This makes the wrapper monotone by construction: it can replace a bad direct fit, but tile noise cannot drag it below one. On RoMa, pyramid v2 lifts SR@10 from 0.10 to 0.12 (+0.021, 95 % CI [+0.005, +0.043],</w:t>
      </w:r>
      <w:r>
        <w:t xml:space="preserve"> </w:t>
      </w:r>
      <w:r>
        <w:rPr>
          <w:i/>
          <w:iCs/>
        </w:rPr>
        <w:t xml:space="preserve">p</w:t>
      </w:r>
      <w:r>
        <w:t xml:space="preserve"> </w:t>
      </w:r>
      <w:r>
        <w:t xml:space="preserve">= 0.017) with zero pairs lost, and it produces the only non-zero severe-stratum results in the entire study (0.00 → 0.03). Two ablations confirm the design is at its useful limit. Iterated zoom, which chains refinements, is not significantly better than a single zoom and is borderline worse, because each stage multiplies verifier error. Certainty gating at 0.5 discards low-certainty matches before fitting, and it is significantly worse than plain v2 (SR@20 −0.037, CI [−0.070, −0.011]), because it starves the estimator on exactly the hard pairs where everything is low-certainty.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it cannot discriminate between transforms that already agree to within ~10 px. This verifier ceiling is the wrapper’s intrinsic limit, and it reappears below.</w:t>
      </w:r>
    </w:p>
    <w:bookmarkEnd w:id="22"/>
    <w:bookmarkStart w:id="23"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only intervention in the study that clears the zero-shot bar with a significant headline gain: SR@10 0.10 → 0.13 (+0.032, 95 % CI [+0.005, +0.064],</w:t>
      </w:r>
      <w:r>
        <w:t xml:space="preserve"> </w:t>
      </w:r>
      <w:r>
        <w:rPr>
          <w:i/>
          <w:iCs/>
        </w:rPr>
        <w:t xml:space="preserve">p</w:t>
      </w:r>
      <w:r>
        <w:t xml:space="preserve"> </w:t>
      </w:r>
      <w:r>
        <w:t xml:space="preserve">= 0.018). The gain sits entirely in the ≥ 0.5 FOV stratum (0.13 → 0.18): cross-modal training repairs appearance on pairs that were nearly matchable, with an all-or-nothing profile (slightly worse SR@5, higher median ED when it misses). Severe-FOV pairs, which are small, low-texture, and modality-divergent, remain at zero for every configuration tested. A change of weights rather than of geometry produced the project’s only headline gain, and that is the first direct sign that appearance, not scale, is the operative constraint. The finding is consistent with the AmalgaMatch authors’ own evaluation, which independently reports that MatchAnything-RoMa outperforms MatchAnything-ELoFTR across most subsets [1]; our contribution is to quantify where that gain lives (high FOV) and to show what it cannot reach (severe FOV).</w:t>
      </w:r>
    </w:p>
    <w:bookmarkEnd w:id="23"/>
    <w:bookmarkStart w:id="30" w:name="X2975bc739d10c55d4d01f02645ba9b4fc49a578"/>
    <w:p>
      <w:pPr>
        <w:pStyle w:val="Heading3"/>
      </w:pPr>
      <w:r>
        <w:t xml:space="preserve">A controlled FOV ladder decouples scale from appearance</w:t>
      </w:r>
    </w:p>
    <w:p>
      <w:pPr>
        <w:pStyle w:val="FirstParagraph"/>
      </w:pPr>
      <w:r>
        <w:t xml:space="preserve">The real dataset cannot answer the question that H1 was about, namely the failure FOV per backbone,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4):</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does what it was designed to do.</w:t>
      </w:r>
      <w:r>
        <w:t xml:space="preserve"> </w:t>
      </w:r>
      <w:r>
        <w:t xml:space="preserve">At FOV 0.1, MatchAnything-RoMa with pyramid v2 holds SR@10 0.23 against 0.07 direct, a gain of +0.150 (95 % CI [+0.050, +0.275],</w:t>
      </w:r>
      <w:r>
        <w:t xml:space="preserve"> </w:t>
      </w:r>
      <w:r>
        <w:rPr>
          <w:i/>
          <w:iCs/>
        </w:rPr>
        <w:t xml:space="preserve">p</w:t>
      </w:r>
      <w:r>
        <w:t xml:space="preserve"> </w:t>
      </w:r>
      <w:r>
        <w:t xml:space="preserve">= 0.0014) and a more-than-threefold relative improvement in the regime H1 targeted.</w:t>
      </w:r>
    </w:p>
    <w:p>
      <w:pPr>
        <w:pStyle w:val="FirstParagraph"/>
      </w:pPr>
      <w:r>
        <w:t xml:space="preserve">This resolves the project’s central tension. The wrapper mechanism is sound for scale, and the usable-FOV envelope extends from about 0.25 (direct) to about 0.1 (wrapped, strong backbone). H1 as stated remains rejected on real pairs, but only because the real distribution never isolates scale as the failure mode: the severe-FOV pairs fail on appearance first, and no scale wrapper can touch that. Figure 5 shows the per-backbone FOV breakdown on the native (uncropped) pairs for comparison.</w:t>
      </w:r>
    </w:p>
    <w:p>
      <w:pPr>
        <w:pStyle w:val="CaptionedFigure"/>
      </w:pPr>
      <w:r>
        <w:drawing>
          <wp:inline>
            <wp:extent cx="5334000" cy="2182090"/>
            <wp:effectExtent b="0" l="0" r="0" t="0"/>
            <wp:docPr descr="Figure 4" title="" id="25" name="Picture"/>
            <a:graphic>
              <a:graphicData uri="http://schemas.openxmlformats.org/drawingml/2006/picture">
                <pic:pic>
                  <pic:nvPicPr>
                    <pic:cNvPr descr="figs/fov_ladder.png" id="26" name="Picture"/>
                    <pic:cNvPicPr>
                      <a:picLocks noChangeArrowheads="1" noChangeAspect="1"/>
                    </pic:cNvPicPr>
                  </pic:nvPicPr>
                  <pic:blipFill>
                    <a:blip r:embed="rId24"/>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Controlled FOV ladder with appearance fixed. Cropping base-matchable pairs to shrinking FOV ratios shows direct matching collapsing between 0.25 and 0.1, while the verified wrapper restores SR@10 at the 0.1 rung (0.07 → 0.23,</w:t>
      </w:r>
      <w:r>
        <w:t xml:space="preserve"> </w:t>
      </w:r>
      <w:r>
        <w:rPr>
          <w:i/>
          <w:iCs/>
        </w:rPr>
        <w:t xml:space="preserve">p</w:t>
      </w:r>
      <w:r>
        <w:t xml:space="preserve"> </w:t>
      </w:r>
      <w:r>
        <w:t xml:space="preserve">= 0.0014): the wrapper’s scale mechanism is sound once scale is isolated.</w:t>
      </w:r>
    </w:p>
    <w:p>
      <w:pPr>
        <w:pStyle w:val="CaptionedFigure"/>
      </w:pPr>
      <w:r>
        <w:drawing>
          <wp:inline>
            <wp:extent cx="5334000" cy="3200400"/>
            <wp:effectExtent b="0" l="0" r="0" t="0"/>
            <wp:docPr descr="Figure 5" title="" id="28" name="Picture"/>
            <a:graphic>
              <a:graphicData uri="http://schemas.openxmlformats.org/drawingml/2006/picture">
                <pic:pic>
                  <pic:nvPicPr>
                    <pic:cNvPr descr="figs/fov_curves.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Success rate versus field-of-view stratum on native pairs. On the real distribution, low-FOV strata are simultaneously the most appearance-divergent, confounding scale and appearance; severe-FOV success is at the floor for every configuration.</w:t>
      </w:r>
    </w:p>
    <w:bookmarkEnd w:id="30"/>
    <w:bookmarkStart w:id="31"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so we tested it directly. A scene-level 131/28/28 train/val/test split prevents leakage, because within-scene pairs share images and a pair-level split would leak. All headline numbers come from the 28 test pairs only, with validation driving model selection and the test set touched once. Fine-tuning is decoder-only: the VGG+DINOv2 encoder is frozen in evaluation mode so that its normalisation statistics cannot drift, and ~100M decoder parameters are trained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 In-distribution, fine-tuning works hard: the 16 TEM dislocation test pairs (50 TEM pairs in training) improved median ED from 320.8 to 61.8 px, a 5.2× reduction and the single largest metric movement we saw, although the improvement runs mostly from ~320 to ~60 px and so stays above the 20 px bar, where SR barely registers it. Off-distribution, the model forgets: the C103 SEM-SE↔LOM-height subclass has zero training pairs and exists only in val/test, so it probes catastrophic forgetting directly. This subclass holds two scenes (two test pairs each). Across three training seeds the second scene is unrecoverable in every run, plain or anchored (residual 370–1400 px against a ~12 px zero-shot baseline), which marks a genuine modality-coverage gap rather than an optimisation failure. The first scene is more fragile than seed-stable: the plain fine-tune retains it across all three seeds (≤31 px), but it is exactly this scene that the originally reported single run (seed 0) broke (80/1220 px), so the headline</w:t>
      </w:r>
      <w:r>
        <w:t xml:space="preserve"> </w:t>
      </w:r>
      <w:r>
        <w:t xml:space="preserve">“catastrophic forgetting”</w:t>
      </w:r>
      <w:r>
        <w:t xml:space="preserve"> </w:t>
      </w:r>
      <w:r>
        <w:t xml:space="preserve">of the recoverable scene is itself a seed-dependent event. What is seed-robust is the unrecoverable second scene and the resulting modest SR@20 regression relative to zero-shot (0.393 → 0.30 ± 0.04 over three seeds); with only two C103 pairs in validation, a median selection metric cannot see this damage in any run. A FOV-ladder analysis on the fine-tuned backbone (same 63-pair testbed) confirms that the direction is right but partly redundant with the wrapper. Fine-tuning helps the moderate-FOV regime, holding SR@10 0.37–0.39 at rung 0.25 against 0.28–0.30 for the zero-shot model, and the pyramid still adds a significant but roughly halved scale lift at the severe 0.1 rung (+0.078, CI [+0.020, +0.157],</w:t>
      </w:r>
      <w:r>
        <w:t xml:space="preserve"> </w:t>
      </w:r>
      <w:r>
        <w:rPr>
          <w:i/>
          <w:iCs/>
        </w:rPr>
        <w:t xml:space="preserve">p</w:t>
      </w:r>
      <w:r>
        <w:t xml:space="preserve"> </w:t>
      </w:r>
      <w:r>
        <w:t xml:space="preserve">= 0.0154, against +0.150 on stock MatchAnything-RoMa). Fine-tuning and the wrapper address overlapping scale and appearance failures, so they do not fully stack.</w:t>
      </w:r>
    </w:p>
    <w:p>
      <w:pPr>
        <w:pStyle w:val="BodyText"/>
      </w:pPr>
      <w:r>
        <w:rPr>
          <w:b/>
          <w:bCs/>
        </w:rPr>
        <w:t xml:space="preserve">Table 2. Decoder-only fine-tuning on the held-out 28-pair test split: mean ± SD over three training seeds</w:t>
      </w:r>
      <w:r>
        <w:t xml:space="preserve"> </w:t>
      </w:r>
      <w:r>
        <w:t xml:space="preserve">(direct match, TPS-refined ED). Zero-shot is deterministic (single value); SR@5 ≈ 0 throughout (the ~10.3 px GT affine-residual floor) and is omitted.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Method (direct match)</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r>
              <w:t xml:space="preserve">MatchAnything-RoMa (plain fine-tune, λ = 0)</w:t>
            </w:r>
          </w:p>
        </w:tc>
        <w:tc>
          <w:tcPr/>
          <w:p>
            <w:pPr>
              <w:pStyle w:val="Compact"/>
              <w:jc w:val="right"/>
            </w:pPr>
            <w:r>
              <w:t xml:space="preserve">0.095 ± 0.021</w:t>
            </w:r>
          </w:p>
        </w:tc>
        <w:tc>
          <w:tcPr/>
          <w:p>
            <w:pPr>
              <w:pStyle w:val="Compact"/>
              <w:jc w:val="right"/>
            </w:pPr>
            <w:r>
              <w:t xml:space="preserve">0.298 ± 0.041</w:t>
            </w:r>
          </w:p>
        </w:tc>
        <w:tc>
          <w:tcPr/>
          <w:p>
            <w:pPr>
              <w:pStyle w:val="Compact"/>
              <w:jc w:val="right"/>
            </w:pPr>
            <w:r>
              <w:t xml:space="preserve">46.0 ± 3.9</w:t>
            </w:r>
          </w:p>
        </w:tc>
      </w:tr>
      <w:tr>
        <w:tc>
          <w:tcPr/>
          <w:p>
            <w:pPr>
              <w:pStyle w:val="Compact"/>
            </w:pPr>
            <w:r>
              <w:t xml:space="preserve">MatchAnything-RoMa (L2-SP, λ = 0.01)</w:t>
            </w:r>
          </w:p>
        </w:tc>
        <w:tc>
          <w:tcPr/>
          <w:p>
            <w:pPr>
              <w:pStyle w:val="Compact"/>
              <w:jc w:val="right"/>
            </w:pPr>
            <w:r>
              <w:t xml:space="preserve">0.095 ± 0.021</w:t>
            </w:r>
          </w:p>
        </w:tc>
        <w:tc>
          <w:tcPr/>
          <w:p>
            <w:pPr>
              <w:pStyle w:val="Compact"/>
              <w:jc w:val="right"/>
            </w:pPr>
            <w:r>
              <w:t xml:space="preserve">0.274 ± 0.021</w:t>
            </w:r>
          </w:p>
        </w:tc>
        <w:tc>
          <w:tcPr/>
          <w:p>
            <w:pPr>
              <w:pStyle w:val="Compact"/>
              <w:jc w:val="right"/>
            </w:pPr>
            <w:r>
              <w:t xml:space="preserve">56.3 ± 6.2</w:t>
            </w:r>
          </w:p>
        </w:tc>
      </w:tr>
    </w:tbl>
    <w:p>
      <w:pPr>
        <w:pStyle w:val="BodyText"/>
      </w:pPr>
      <w:r>
        <w:t xml:space="preserve">Across seeds the plain and L2-SP fine-tunes are statistically indistinguishable on every metric (overlapping ± SD), so the anchor is a zero-cost floor rather than a reliable improvement at this data budget. Both regress SR@20 modestly relative to zero-shot (0.393 → 0.30 / 0.27), within the resolution of a 28-pair test, while sharply improving in-distribution TEM median ED (~5× from ~321 px, seed-robust). The regression tracks forgetting of the untrained C103 SEM-SE↔LOM-height combination, of which one scene is unrecoverable at every seed and anchor.</w:t>
      </w:r>
    </w:p>
    <w:bookmarkEnd w:id="31"/>
    <w:bookmarkStart w:id="32" w:name="Xa47a5224f2d818e2f7897b7fc3f301b72372759"/>
    <w:p>
      <w:pPr>
        <w:pStyle w:val="Heading3"/>
      </w:pPr>
      <w:r>
        <w:t xml:space="preserve">A one-line weight anchor, tested across seeds</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that pulls the decoder back toward its zero-shot initialisation, with no replay corpus, no architecture change, and no extra parameters. We swept λ ∈ {0, 0.01, 0.1, 1.0}, where λ = 0 reproduces the plain fine-tune, selecting the step per run by minimum validation median ED and the λ by held-out</w:t>
      </w:r>
      <w:r>
        <w:t xml:space="preserve"> </w:t>
      </w:r>
      <w:r>
        <w:rPr>
          <w:i/>
          <w:iCs/>
        </w:rPr>
        <w:t xml:space="preserve">test</w:t>
      </w:r>
      <w:r>
        <w:t xml:space="preserve">-split retention, because validation cannot see the C103 damage.</w:t>
      </w:r>
    </w:p>
    <w:p>
      <w:pPr>
        <w:pStyle w:val="BodyText"/>
      </w:pPr>
      <w:r>
        <w:t xml:space="preserve">In a single seed-0 run the anchor looked like a clear win. At λ = 0.01 the recoverable C103 scene, the scene that run broke, dropped from 80/1220 px back to 16/24 px, close to zero-shot’s ~12 px, while the other C103 scene stayed broken at every λ; heavier anchoring (λ = 0.1, 1.0) bought no further retention and cost both in-distribution gain and training stability, as the certainty head decalibrated into transient all-fail validation epochs whose onset moved earlier as λ grew. On that single run, L2-SP λ = 0.01 improved median ED over the plain fine-tune by 15.6 px (CI [−49.8, −2.4],</w:t>
      </w:r>
      <w:r>
        <w:t xml:space="preserve"> </w:t>
      </w:r>
      <w:r>
        <w:rPr>
          <w:i/>
          <w:iCs/>
        </w:rPr>
        <w:t xml:space="preserve">p</w:t>
      </w:r>
      <w:r>
        <w:t xml:space="preserve"> </w:t>
      </w:r>
      <w:r>
        <w:t xml:space="preserve">= 0.0046) and shrank the SR@20 deficit against zero-shot to −0.071 (CI [−0.214, +0.071],</w:t>
      </w:r>
      <w:r>
        <w:t xml:space="preserve"> </w:t>
      </w:r>
      <w:r>
        <w:rPr>
          <w:i/>
          <w:iCs/>
        </w:rPr>
        <w:t xml:space="preserve">p</w:t>
      </w:r>
      <w:r>
        <w:t xml:space="preserve"> </w:t>
      </w:r>
      <w:r>
        <w:t xml:space="preserve">= 0.91). Neither edge generalises: the three-seed direct analysis below and a matched three-seed replication under the pyramid deployment protocol (Table 3) both leave L2-SP and the plain fine-tune indistinguishable.</w:t>
      </w:r>
    </w:p>
    <w:p>
      <w:pPr>
        <w:pStyle w:val="BodyText"/>
      </w:pPr>
      <w:r>
        <w:t xml:space="preserve">Three training seeds temper that reading. Re-running the plain (λ = 0) and anchored (λ = 0.01) fine-tunes at seeds 1–3 with the identical recipe and direct-match evaluation (Table 2) leaves the two configurations statistically indistinguishable on every test metric: SR@10 0.095 ± 0.021 for both, SR@20 0.298 ± 0.041 (plain) versus 0.274 ± 0.021 (L2-SP), median ED 46.0 ± 3.9 versus 56.3 ± 6.2 px (per-seed values in Table 4). The single-run median-ED edge does not survive as a cross-seed effect, and on the recoverable C103 scene the anchor is if anything less stable than the plain fine-tune, retaining it in one of three seeds against three of three for λ = 0. The one effect that is robust across all six runs is the opposite of an anchor success: the second C103 scene is unrecoverable at every seed and every λ, which marks a modality-coverage gap rather than an optimisation choice. We therefore report L2-SP as a deliberately zero-cost floor that does not worsen the fine-tune rather than as a reliable forgetting fix, and we expect stronger continual-learning methods such as experience replay, elastic weight consolidation [14], or LoRA-style low-rank updates [13] to be needed for a seed-robust improvement; quantifying that is left to future work. With only 28 test pairs the SR@20 comparisons are low-power, so the regression should be read as</w:t>
      </w:r>
      <w:r>
        <w:t xml:space="preserve"> </w:t>
      </w:r>
      <w:r>
        <w:t xml:space="preserve">“modest and within seed noise”</w:t>
      </w:r>
      <w:r>
        <w:t xml:space="preserve"> </w:t>
      </w:r>
      <w:r>
        <w:t xml:space="preserve">rather than as proven equivalence, and a formal equivalence test on a larger held-out set is planned. Re-training seeds 1–3 and evaluating both protocols on the same checkpoints (Table 3) shows the verified wrapper neither helps nor hurts the fine-tuned backbone on the real test split, with pyramid and direct SR@20 coinciding at 0.262 (plain) and 0.274 (L2-SP); this is consistent with the FOV-ladder result that scale and appearance failures overlap in the real distribution, so here the wrapper and the fine-tune do not stack. Lifting SR@20</w:t>
      </w:r>
      <w:r>
        <w:t xml:space="preserve"> </w:t>
      </w:r>
      <w:r>
        <w:rPr>
          <w:i/>
          <w:iCs/>
        </w:rPr>
        <w:t xml:space="preserve">above</w:t>
      </w:r>
      <w:r>
        <w:t xml:space="preserve"> </w:t>
      </w:r>
      <w:r>
        <w:t xml:space="preserve">zero-shot additionally requires closing the unrecoverable-modality gap, which needs training coverage of that modality combination and not a better optimiser.</w:t>
      </w:r>
    </w:p>
    <w:p>
      <w:pPr>
        <w:pStyle w:val="BodyText"/>
      </w:pPr>
      <w:r>
        <w:rPr>
          <w:b/>
          <w:bCs/>
        </w:rPr>
        <w:t xml:space="preserve">Table 3. Verified wrapper on the fine-tuned backbone, three-seed replication</w:t>
      </w:r>
      <w:r>
        <w:t xml:space="preserve"> </w:t>
      </w:r>
      <w:r>
        <w:t xml:space="preserve">(seeds 1–3; 28-pair held-out test split; TPS-refined ED; zero-shot deterministic). These checkpoints were retrained for the pyramid evaluation because the original multi-seed checkpoints (Table 2) were not retained; decoder fine-tuning is not bit-reproducible at fixed seed on our stack (non-deterministic CUDA kernels, multi-worker data loading), so this independent draw lands at a higher direct SR@10 (0.250 vs the 0.095 ± 0.021 of Table 2) — run-to-run scatter exceeds seed-to-seed scatter at 28 pairs, itself part of the variance story. The controlled comparison is therefore</w:t>
      </w:r>
      <w:r>
        <w:t xml:space="preserve"> </w:t>
      </w:r>
      <w:r>
        <w:rPr>
          <w:i/>
          <w:iCs/>
        </w:rPr>
        <w:t xml:space="preserve">within</w:t>
      </w:r>
      <w:r>
        <w:t xml:space="preserve"> </w:t>
      </w:r>
      <w:r>
        <w:t xml:space="preserve">this table, where each direct/pyramid pair shares a checkpoint: the wrapper does not stack on the fine-tune (SR@20 unchanged at 0.262/0.274; median ED within ±2 px), and the seed-0 L2-SP pyramid advantage reported in earlier drafts (SR@20 0.321, median ED 41 px) does not replicate — across seeds 1–3 L2-SP and the plain fine-tune are indistinguishable (SR@20 0.274 ± 0.021 vs 0.262 ± 0.021). The anchor remains a zero-cost floor, not a reliable improvement, under the pyramid deployment protocol as well as the direct one.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Method (3-seed mean ± SD)</w:t>
            </w:r>
          </w:p>
        </w:tc>
        <w:tc>
          <w:tcPr/>
          <w:p>
            <w:pPr>
              <w:pStyle w:val="Compact"/>
            </w:pPr>
            <w:r>
              <w:t xml:space="preserve">Protocol</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pPr>
            <w:r>
              <w:t xml:space="preserve">direct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p>
        </w:tc>
        <w:tc>
          <w:tcPr/>
          <w:p>
            <w:pPr>
              <w:pStyle w:val="Compact"/>
            </w:pPr>
            <w:r>
              <w:t xml:space="preserve">pyramid v2</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MA-RoMa plain fine-tune (λ = 0)</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0.262 ± 0.021</w:t>
            </w:r>
          </w:p>
        </w:tc>
        <w:tc>
          <w:tcPr/>
          <w:p>
            <w:pPr>
              <w:pStyle w:val="Compact"/>
              <w:jc w:val="right"/>
            </w:pPr>
            <w:r>
              <w:t xml:space="preserve">52.4 ± 5.2</w:t>
            </w:r>
          </w:p>
        </w:tc>
      </w:tr>
      <w:tr>
        <w:tc>
          <w:tcPr/>
          <w:p>
            <w:pPr>
              <w:pStyle w:val="Compact"/>
            </w:pPr>
          </w:p>
        </w:tc>
        <w:tc>
          <w:tcPr/>
          <w:p>
            <w:pPr>
              <w:pStyle w:val="Compact"/>
            </w:pPr>
            <w:r>
              <w:t xml:space="preserve">pyramid v2</w:t>
            </w:r>
          </w:p>
        </w:tc>
        <w:tc>
          <w:tcPr/>
          <w:p>
            <w:pPr>
              <w:pStyle w:val="Compact"/>
              <w:jc w:val="right"/>
            </w:pPr>
            <w:r>
              <w:t xml:space="preserve">0.226 ± 0.021</w:t>
            </w:r>
          </w:p>
        </w:tc>
        <w:tc>
          <w:tcPr/>
          <w:p>
            <w:pPr>
              <w:pStyle w:val="Compact"/>
              <w:jc w:val="right"/>
            </w:pPr>
            <w:r>
              <w:t xml:space="preserve">0.262 ± 0.021</w:t>
            </w:r>
          </w:p>
        </w:tc>
        <w:tc>
          <w:tcPr/>
          <w:p>
            <w:pPr>
              <w:pStyle w:val="Compact"/>
              <w:jc w:val="right"/>
            </w:pPr>
            <w:r>
              <w:t xml:space="preserve">49.6 ± 3.1</w:t>
            </w:r>
          </w:p>
        </w:tc>
      </w:tr>
      <w:tr>
        <w:tc>
          <w:tcPr/>
          <w:p>
            <w:pPr>
              <w:pStyle w:val="Compact"/>
            </w:pPr>
            <w:r>
              <w:t xml:space="preserve">MA-RoMa L2-SP (λ = 0.01)</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0.274 ± 0.021</w:t>
            </w:r>
          </w:p>
        </w:tc>
        <w:tc>
          <w:tcPr/>
          <w:p>
            <w:pPr>
              <w:pStyle w:val="Compact"/>
              <w:jc w:val="right"/>
            </w:pPr>
            <w:r>
              <w:t xml:space="preserve">48.1 ± 0.3</w:t>
            </w:r>
          </w:p>
        </w:tc>
      </w:tr>
      <w:tr>
        <w:tc>
          <w:tcPr/>
          <w:p>
            <w:pPr>
              <w:pStyle w:val="Compact"/>
            </w:pPr>
          </w:p>
        </w:tc>
        <w:tc>
          <w:tcPr/>
          <w:p>
            <w:pPr>
              <w:pStyle w:val="Compact"/>
            </w:pPr>
            <w:r>
              <w:t xml:space="preserve">pyramid v2</w:t>
            </w:r>
          </w:p>
        </w:tc>
        <w:tc>
          <w:tcPr/>
          <w:p>
            <w:pPr>
              <w:pStyle w:val="Compact"/>
              <w:jc w:val="right"/>
            </w:pPr>
            <w:r>
              <w:t xml:space="preserve">0.250 ± 0.000</w:t>
            </w:r>
          </w:p>
        </w:tc>
        <w:tc>
          <w:tcPr/>
          <w:p>
            <w:pPr>
              <w:pStyle w:val="Compact"/>
              <w:jc w:val="right"/>
            </w:pPr>
            <w:r>
              <w:t xml:space="preserve">0.274 ± 0.021</w:t>
            </w:r>
          </w:p>
        </w:tc>
        <w:tc>
          <w:tcPr/>
          <w:p>
            <w:pPr>
              <w:pStyle w:val="Compact"/>
              <w:jc w:val="right"/>
            </w:pPr>
            <w:r>
              <w:t xml:space="preserve">50.9 ± 3.6</w:t>
            </w:r>
          </w:p>
        </w:tc>
      </w:tr>
    </w:tbl>
    <w:p>
      <w:pPr>
        <w:pStyle w:val="BodyText"/>
      </w:pPr>
      <w:r>
        <w:rPr>
          <w:b/>
          <w:bCs/>
        </w:rPr>
        <w:t xml:space="preserve">Table 4. Per-seed fine-tuning results</w:t>
      </w:r>
      <w:r>
        <w:t xml:space="preserve"> </w:t>
      </w:r>
      <w:r>
        <w:t xml:space="preserve">(direct match, 28-pair test split) underlying the mean ± SD in Table 2. With three seeds the SD is itself a coarse estimator, so we list the individual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w:t>
            </w:r>
          </w:p>
        </w:tc>
        <w:tc>
          <w:tcPr/>
          <w:p>
            <w:pPr>
              <w:pStyle w:val="Compact"/>
              <w:jc w:val="right"/>
            </w:pPr>
            <w:r>
              <w:t xml:space="preserve">Seed</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plain fine-tune (λ = 0)</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0.321</w:t>
            </w:r>
          </w:p>
        </w:tc>
        <w:tc>
          <w:tcPr/>
          <w:p>
            <w:pPr>
              <w:pStyle w:val="Compact"/>
              <w:jc w:val="right"/>
            </w:pPr>
            <w:r>
              <w:t xml:space="preserve">48.9</w:t>
            </w:r>
          </w:p>
        </w:tc>
      </w:tr>
      <w:tr>
        <w:tc>
          <w:tcPr/>
          <w:p>
            <w:pPr>
              <w:pStyle w:val="Compact"/>
            </w:pPr>
            <w:r>
              <w:t xml:space="preserve">plain fine-tune (λ = 0)</w:t>
            </w:r>
          </w:p>
        </w:tc>
        <w:tc>
          <w:tcPr/>
          <w:p>
            <w:pPr>
              <w:pStyle w:val="Compact"/>
              <w:jc w:val="right"/>
            </w:pPr>
            <w:r>
              <w:t xml:space="preserve">2</w:t>
            </w:r>
          </w:p>
        </w:tc>
        <w:tc>
          <w:tcPr/>
          <w:p>
            <w:pPr>
              <w:pStyle w:val="Compact"/>
              <w:jc w:val="right"/>
            </w:pPr>
            <w:r>
              <w:t xml:space="preserve">0.071</w:t>
            </w:r>
          </w:p>
        </w:tc>
        <w:tc>
          <w:tcPr/>
          <w:p>
            <w:pPr>
              <w:pStyle w:val="Compact"/>
              <w:jc w:val="right"/>
            </w:pPr>
            <w:r>
              <w:t xml:space="preserve">0.321</w:t>
            </w:r>
          </w:p>
        </w:tc>
        <w:tc>
          <w:tcPr/>
          <w:p>
            <w:pPr>
              <w:pStyle w:val="Compact"/>
              <w:jc w:val="right"/>
            </w:pPr>
            <w:r>
              <w:t xml:space="preserve">41.6</w:t>
            </w:r>
          </w:p>
        </w:tc>
      </w:tr>
      <w:tr>
        <w:tc>
          <w:tcPr/>
          <w:p>
            <w:pPr>
              <w:pStyle w:val="Compact"/>
            </w:pPr>
            <w:r>
              <w:t xml:space="preserve">plain fine-tune (λ = 0)</w:t>
            </w:r>
          </w:p>
        </w:tc>
        <w:tc>
          <w:tcPr/>
          <w:p>
            <w:pPr>
              <w:pStyle w:val="Compact"/>
              <w:jc w:val="right"/>
            </w:pPr>
            <w:r>
              <w:t xml:space="preserve">3</w:t>
            </w:r>
          </w:p>
        </w:tc>
        <w:tc>
          <w:tcPr/>
          <w:p>
            <w:pPr>
              <w:pStyle w:val="Compact"/>
              <w:jc w:val="right"/>
            </w:pPr>
            <w:r>
              <w:t xml:space="preserve">0.107</w:t>
            </w:r>
          </w:p>
        </w:tc>
        <w:tc>
          <w:tcPr/>
          <w:p>
            <w:pPr>
              <w:pStyle w:val="Compact"/>
              <w:jc w:val="right"/>
            </w:pPr>
            <w:r>
              <w:t xml:space="preserve">0.250</w:t>
            </w:r>
          </w:p>
        </w:tc>
        <w:tc>
          <w:tcPr/>
          <w:p>
            <w:pPr>
              <w:pStyle w:val="Compact"/>
              <w:jc w:val="right"/>
            </w:pPr>
            <w:r>
              <w:t xml:space="preserve">47.6</w:t>
            </w:r>
          </w:p>
        </w:tc>
      </w:tr>
      <w:tr>
        <w:tc>
          <w:tcPr/>
          <w:p>
            <w:pPr>
              <w:pStyle w:val="Compact"/>
            </w:pPr>
            <w:r>
              <w:t xml:space="preserve">L2-SP (λ = 0.01)</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52.5</w:t>
            </w:r>
          </w:p>
        </w:tc>
      </w:tr>
      <w:tr>
        <w:tc>
          <w:tcPr/>
          <w:p>
            <w:pPr>
              <w:pStyle w:val="Compact"/>
            </w:pPr>
            <w:r>
              <w:t xml:space="preserve">L2-SP (λ = 0.01)</w:t>
            </w:r>
          </w:p>
        </w:tc>
        <w:tc>
          <w:tcPr/>
          <w:p>
            <w:pPr>
              <w:pStyle w:val="Compact"/>
              <w:jc w:val="right"/>
            </w:pPr>
            <w:r>
              <w:t xml:space="preserve">2</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52.9</w:t>
            </w:r>
          </w:p>
        </w:tc>
      </w:tr>
      <w:tr>
        <w:tc>
          <w:tcPr/>
          <w:p>
            <w:pPr>
              <w:pStyle w:val="Compact"/>
            </w:pPr>
            <w:r>
              <w:t xml:space="preserve">L2-SP (λ = 0.01)</w:t>
            </w:r>
          </w:p>
        </w:tc>
        <w:tc>
          <w:tcPr/>
          <w:p>
            <w:pPr>
              <w:pStyle w:val="Compact"/>
              <w:jc w:val="right"/>
            </w:pPr>
            <w:r>
              <w:t xml:space="preserve">3</w:t>
            </w:r>
          </w:p>
        </w:tc>
        <w:tc>
          <w:tcPr/>
          <w:p>
            <w:pPr>
              <w:pStyle w:val="Compact"/>
              <w:jc w:val="right"/>
            </w:pPr>
            <w:r>
              <w:t xml:space="preserve">0.071</w:t>
            </w:r>
          </w:p>
        </w:tc>
        <w:tc>
          <w:tcPr/>
          <w:p>
            <w:pPr>
              <w:pStyle w:val="Compact"/>
              <w:jc w:val="right"/>
            </w:pPr>
            <w:r>
              <w:t xml:space="preserve">0.250</w:t>
            </w:r>
          </w:p>
        </w:tc>
        <w:tc>
          <w:tcPr/>
          <w:p>
            <w:pPr>
              <w:pStyle w:val="Compact"/>
              <w:jc w:val="right"/>
            </w:pPr>
            <w:r>
              <w:t xml:space="preserve">63.5</w:t>
            </w:r>
          </w:p>
        </w:tc>
      </w:tr>
    </w:tbl>
    <w:p>
      <w:pPr>
        <w:pStyle w:val="BodyText"/>
      </w:pPr>
      <w:r>
        <w:t xml:space="preserve">SR@10 spans 0.071–0.107 and SR@20 0.250–0.321 for both configurations, with the two distributions overlapping rather than separating. Median ED is the only metric on which the configurations differ in central tendency (plain 41.6–48.9 vs. L2-SP 52.5–63.5 px), but the ranges abut and the effect does not reach the per-seed separation needed to call L2-SP an improvement.</w:t>
      </w:r>
    </w:p>
    <w:bookmarkEnd w:id="32"/>
    <w:bookmarkStart w:id="33" w:name="hypothesis-verdicts"/>
    <w:p>
      <w:pPr>
        <w:pStyle w:val="Heading3"/>
      </w:pPr>
      <w:r>
        <w:t xml:space="preserve">Hypothesis verdicts</w:t>
      </w:r>
    </w:p>
    <w:p>
      <w:pPr>
        <w:pStyle w:val="FirstParagraph"/>
      </w:pPr>
      <w:r>
        <w:rPr>
          <w:b/>
          <w:bCs/>
        </w:rPr>
        <w:t xml:space="preserve">H1</w:t>
      </w:r>
      <w:r>
        <w:t xml:space="preserve"> </w:t>
      </w:r>
      <w:r>
        <w:t xml:space="preserve">(pyramid ≥ 35 % gain at FOV ≤ 5 %) is</w:t>
      </w:r>
      <w:r>
        <w:t xml:space="preserve"> </w:t>
      </w:r>
      <w:r>
        <w:rPr>
          <w:b/>
          <w:bCs/>
        </w:rPr>
        <w:t xml:space="preserve">rejected</w:t>
      </w:r>
      <w:r>
        <w:t xml:space="preserve"> </w:t>
      </w:r>
      <w:r>
        <w:t xml:space="preserve">on real pairs, because severe-FOV success is zero for every configuration and those pairs fail on appearance rather than scale; the wrapper mechanism is nonetheless</w:t>
      </w:r>
      <w:r>
        <w:t xml:space="preserve"> </w:t>
      </w:r>
      <w:r>
        <w:rPr>
          <w:b/>
          <w:bCs/>
        </w:rPr>
        <w:t xml:space="preserve">validated</w:t>
      </w:r>
      <w:r>
        <w:t xml:space="preserve"> </w:t>
      </w:r>
      <w:r>
        <w:t xml:space="preserve">independently by the controlled FOV ladder.</w:t>
      </w:r>
      <w:r>
        <w:t xml:space="preserve"> </w:t>
      </w:r>
      <w:r>
        <w:rPr>
          <w:b/>
          <w:bCs/>
        </w:rPr>
        <w:t xml:space="preserve">H2</w:t>
      </w:r>
      <w:r>
        <w:t xml:space="preserve"> </w:t>
      </w:r>
      <w:r>
        <w:t xml:space="preserve">(RoMa beats the ELoFTR family at low FOV) is</w:t>
      </w:r>
      <w:r>
        <w:t xml:space="preserve"> </w:t>
      </w:r>
      <w:r>
        <w:rPr>
          <w:b/>
          <w:bCs/>
        </w:rPr>
        <w:t xml:space="preserve">supported</w:t>
      </w:r>
      <w:r>
        <w:t xml:space="preserve">.</w:t>
      </w:r>
      <w:r>
        <w:t xml:space="preserve"> </w:t>
      </w:r>
      <w:r>
        <w:rPr>
          <w:b/>
          <w:bCs/>
        </w:rPr>
        <w:t xml:space="preserve">H3</w:t>
      </w:r>
      <w:r>
        <w:t xml:space="preserve"> </w:t>
      </w:r>
      <w:r>
        <w:t xml:space="preserve">(affine sufficient vs. homography) is</w:t>
      </w:r>
      <w:r>
        <w:t xml:space="preserve"> </w:t>
      </w:r>
      <w:r>
        <w:rPr>
          <w:b/>
          <w:bCs/>
        </w:rPr>
        <w:t xml:space="preserve">mostly supported</w:t>
      </w:r>
      <w:r>
        <w:t xml:space="preserve">: the BIC selector picks affine on 69 % of well-registered pairs and homography on the remaining 31 %, so the correct protocol is automatic selection rather than a hard affine restriction.</w:t>
      </w:r>
    </w:p>
    <w:bookmarkEnd w:id="33"/>
    <w:bookmarkEnd w:id="34"/>
    <w:bookmarkStart w:id="35" w:name="discussion"/>
    <w:p>
      <w:pPr>
        <w:pStyle w:val="Heading2"/>
      </w:pPr>
      <w:r>
        <w:t xml:space="preserve">Discussion</w:t>
      </w:r>
    </w:p>
    <w:p>
      <w:pPr>
        <w:pStyle w:val="FirstParagraph"/>
      </w:pPr>
      <w:r>
        <w:t xml:space="preserve">The conclusion we draw, for this benchmark, is that cross-modal appearance rather than scale mismatch is the dominant constraint on foundation-model registration. Three lines of evidence point to it. First, the only off-the-shelf intervention that produced a significant headline gain was a change of</w:t>
      </w:r>
      <w:r>
        <w:t xml:space="preserve"> </w:t>
      </w:r>
      <w:r>
        <w:rPr>
          <w:i/>
          <w:iCs/>
        </w:rPr>
        <w:t xml:space="preserve">weights</w:t>
      </w:r>
      <w:r>
        <w:t xml:space="preserve"> </w:t>
      </w:r>
      <w:r>
        <w:t xml:space="preserve">(cross-modal-trained MatchAnything-RoMa), and that gain lived entirely among high-FOV, nearly-matchable pairs. Second, a scale-only wrapper that triples success when scale is isolated experimentally moves real severe-FOV pairs almost not at all, because in the real distribution low FOV and high appearance divergence are confounded. Third, attacking appearance directly with domain fine-tuning produced the single largest error reduction we observed (~5× on in-distribution TEM; 5.2× in the seed-0 run, and seed-robust in direction across the three seeds). The pyramid solves a problem these pairs mostly do not have, and it cannot touch the one they do.</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which are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decoder-only domain fine-tune when in-domain data exists, accepting that it helps in-distribution modalities and risks forgetting untrained ones; in our setup this is ~100M decoder parameters, AdamW for 1500 steps, about 90 min on a single RTX 5090, and a 445 MB checkpoint, optionally with an L2-SP anchor at λ = 0.01 as a zero-cost regulariser (it does not, on its own, prevent loss of untrained modality combinations; see below).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and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cleanly isolates scale, but it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Both the direct-match and the pyramid-protocol fine-tuning numbers are now reported as mean ± SD over three training seeds (Tables 2 and 3). Because the original multi-seed checkpoints were not retained, the pyramid-protocol replication retrained seeds 1–3 from scratch under the identical recipe; decoder fine-tuning is not bit-reproducible at fixed seed on our stack (non-deterministic CUDA kernels and multi-worker data loading), so this independent draw sits at a higher direct SR@10 than Table 2 (0.250 versus 0.095). That run-to-run scatter can exceed seed-to-seed scatter at 28 test pairs is itself a caution against over-reading any single-run SR number on this benchmark; the reliable comparison is the within-checkpoint one (direct versus pyramid in Table 3), which shows the recommended deployment configuration, the verified wrapper on the fine-tune, neither gains nor loses over direct matching across seeds. The 28-pair test split is small, so SR comparisons are low-power and the seed-to-seed scatter is correspondingly large: the single-run SR@10 of 0.25 reported in earlier drafts sat well above the three-seed mean of 0.095 ± 0.021, which is why we now read the fine-tune as a large in-distribution gain accompanied by a modest, seed-noisy SR regression rather than a clean net improvement, and why we do not claim the L2-SP anchor as a reliable fix. A formal equivalence test on a larger held-out set and at least one stronger continual-learning baseline (LoRA-style low-rank adaptation) remain planned and not yet run. Finally, the fine-tuning study rests on 131 training pairs over 12 subclasses; the unrecoverable C103 scene, broken at every seed and anchor strength, shows that breadth of modality coverage rather than optimisation is the remaining bottleneck.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35"/>
    <w:bookmarkStart w:id="36"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defined by the GT-implied source/target area ratio.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weight-anchored variant adds an L2-SP penalty [12] (λ/2)‖θ_dec − θ_dec⁰‖² anchoring the decoder to its zero-shot initialisation; λ ∈ {0, 0.01, 0.1, 1.0} is swept, with the step selected per run by validation median ED and λ by held-out test-split retention. The plain (λ = 0) and anchored (λ = 0.01) recipes are each run at three seeds for the variance analysis. We considered replay-based and low-rank [13] alternatives and elastic weight consolidation [14] as heavier mitigations; L2-SP was chosen as the zero-cost baseline.</w:t>
      </w:r>
    </w:p>
    <w:bookmarkEnd w:id="36"/>
    <w:bookmarkStart w:id="37"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and archived at Zenodo (doi:10.5281/zenodo.20819649); all tables and figures regenerate from the released result files via the scripts referenced therein. Fine-tuned model checkpoints (445 MB) are available from the author on reasonable request.</w:t>
      </w:r>
    </w:p>
    <w:bookmarkEnd w:id="37"/>
    <w:bookmarkStart w:id="38"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38"/>
    <w:bookmarkStart w:id="39"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bookmarkEnd w:id="39"/>
    <w:bookmarkStart w:id="40"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40"/>
    <w:bookmarkStart w:id="41"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41"/>
    <w:bookmarkStart w:id="42" w:name="competing-interests"/>
    <w:p>
      <w:pPr>
        <w:pStyle w:val="Heading2"/>
      </w:pPr>
      <w:r>
        <w:t xml:space="preserve">Competing interests</w:t>
      </w:r>
    </w:p>
    <w:p>
      <w:pPr>
        <w:pStyle w:val="FirstParagraph"/>
      </w:pPr>
      <w:r>
        <w:t xml:space="preserve">The author declares no competing interests.</w:t>
      </w:r>
    </w:p>
    <w:bookmarkEnd w:id="42"/>
    <w:bookmarkStart w:id="4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2026-06-23T20:50:29Z</dcterms:created>
  <dcterms:modified xsi:type="dcterms:W3CDTF">2026-06-23T20:50:29Z</dcterms:modified>
</cp:coreProperties>
</file>

<file path=docProps/custom.xml><?xml version="1.0" encoding="utf-8"?>
<Properties xmlns="http://schemas.openxmlformats.org/officeDocument/2006/custom-properties" xmlns:vt="http://schemas.openxmlformats.org/officeDocument/2006/docPropsVTypes"/>
</file>