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fc41bc797920343f639d58d4c336d6b004cf86"/>
    <w:p>
      <w:pPr>
        <w:pStyle w:val="Heading1"/>
      </w:pPr>
      <w:r>
        <w:t xml:space="preserve">Pyramidal wrappers break non-abstaining dense matchers: a diagnostic study of foundation-model registration in correlative microscopy</w:t>
      </w:r>
    </w:p>
    <w:p>
      <w:pPr>
        <w:pStyle w:val="FirstParagraph"/>
      </w:pPr>
      <w:r>
        <w:rPr>
          <w:b/>
          <w:bCs/>
        </w:rPr>
        <w:t xml:space="preserve">Frank Cai</w:t>
      </w:r>
      <w:r>
        <w:t xml:space="preserve"> </w:t>
      </w:r>
      <w:r>
        <w:t xml:space="preserve">Purdue University, West Lafayette, IN, USA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gain (SR@10 0.10→0.12,</w:t>
      </w:r>
      <w:r>
        <w:t xml:space="preserve"> </w:t>
      </w:r>
      <w:r>
        <w:rPr>
          <w:i/>
          <w:iCs/>
        </w:rPr>
        <w:t xml:space="preserve">p</w:t>
      </w:r>
      <w:r>
        <w:t xml:space="preserve"> </w:t>
      </w:r>
      <w:r>
        <w:t xml:space="preserve">= 0.017) without losing any pair, yet FOV ≤5% success stays zero; that gain is contingent on the reported error metric and is absent on unrefined matcher error (</w:t>
      </w:r>
      <w:r>
        <w:rPr>
          <w:i/>
          <w:iCs/>
        </w:rPr>
        <w:t xml:space="preserve">p</w:t>
      </w:r>
      <w:r>
        <w:t xml:space="preserve"> </w:t>
      </w:r>
      <w:r>
        <w:t xml:space="preserve">= 0.65). The largest lever was the backbone: cross-modal-trained MatchAnything-RoMa gave the only other gain over zero-shot (SR@10 +0.032,</w:t>
      </w:r>
      <w:r>
        <w:t xml:space="preserve"> </w:t>
      </w:r>
      <w:r>
        <w:rPr>
          <w:i/>
          <w:iCs/>
        </w:rPr>
        <w:t xml:space="preserve">p</w:t>
      </w:r>
      <w:r>
        <w:t xml:space="preserve"> </w:t>
      </w:r>
      <w:r>
        <w:t xml:space="preserve">= 0.018), among high-FOV pairs, and it is metric-contingent in the same way (</w:t>
      </w:r>
      <w:r>
        <w:rPr>
          <w:i/>
          <w:iCs/>
        </w:rPr>
        <w:t xml:space="preserve">p</w:t>
      </w:r>
      <w:r>
        <w:t xml:space="preserve"> </w:t>
      </w:r>
      <w:r>
        <w:t xml:space="preserve">= 0.17 unrefined). A controlled FOV ladder isolating scale (appearance fixed) shows the wrapper triples success at 10% FOV (0.07→0.23,</w:t>
      </w:r>
      <w:r>
        <w:t xml:space="preserve"> </w:t>
      </w:r>
      <w:r>
        <w:rPr>
          <w:i/>
          <w:iCs/>
        </w:rPr>
        <w:t xml:space="preserve">p</w:t>
      </w:r>
      <w:r>
        <w:t xml:space="preserve"> </w:t>
      </w:r>
      <w:r>
        <w:t xml:space="preserve">= 0.0014), and this is the one headline that holds under both error metrics, so the scale mechanism is sound. Decoder-only fine-tuning cut in-distribution TEM error ~5×, but across eight runs regressed SR@20 (0.393→0.26) on the four test pairs whose modality combination is absent from training, which L2-SP did not fix. A directly measured appearance axis (normalised mutual information on the GT-aligned overlap) confirms that low FOV and appearance divergence are confounded on this benchmark (</w:t>
      </w:r>
      <w:r>
        <w:rPr>
          <w:i/>
          <w:iCs/>
        </w:rPr>
        <w:t xml:space="preserve">r</w:t>
      </w:r>
      <w:r>
        <w:t xml:space="preserve"> </w:t>
      </w:r>
      <w:r>
        <w:t xml:space="preserve">= +0.215,</w:t>
      </w:r>
      <w:r>
        <w:t xml:space="preserve"> </w:t>
      </w:r>
      <w:r>
        <w:rPr>
          <w:i/>
          <w:iCs/>
        </w:rPr>
        <w:t xml:space="preserve">p</w:t>
      </w:r>
      <w:r>
        <w:t xml:space="preserve"> </w:t>
      </w:r>
      <w:r>
        <w:t xml:space="preserve">= 0.003) but does not show appearance dominating scale; with at most three of 61 sub-0.5-area-ratio pairs ever registered by any configuration, AmalgaMatch has too little leverage in that regime to separate the two.</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extreme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gain that turns out to depend on the choice of error metric, and it cannot reach the extreme-FOV regime at all.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an eight-run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a directly measured cross-modal appearance axis, which shows that appearance divergence and FOV are confounded on this benchmark and that AmalgaMatch carries too little leverage below an area ratio of 0.5 to establish which of the two dominates. Fourth, an eight-run robustness analysis of decoder-only fine-tuning showing that neither the optimiser nor a one-line weight anchor removes the held-out regression, which falls entirely on the single held-out subclass whose modality combination our split leaves untrained; whether that subclass fails for want of modality coverage or for its scale severity is not resolved by four pairs from two scenes, and we say so where the result is reported. The fine-tuning recipe itself is reported alongside (a large, run-robust in-distribution gain with a modest, run-noisy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are bins of the GT-implied target/source area ratio with edges &lt;0.05 (n = 4), 0.05–0.25 (n = 33), 0.25–0.5 (n = 24) and ≥0.5 (n = 126). We call the first two the extreme- and low-FOV strata; earlier drafts used “severe” for both, and we avoid that word here. Only four pairs sit below ratio 0.05 under any definition, so no claim resting on that stratum alone can carry weight.</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4376615"/>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4376615"/>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with 95 % Wilson score intervals and n per configuration. Pyramid v1 collapses RoMa; pyramid v2 recovers a small gain without losing pairs, and the cross-modal-trained MatchAnything-RoMa backbone is the largest off-the-shelf lever. Both gains are contingent on the TPS-refined error metric and are not significant on unrefined matcher error (Limitations); the overlapping intervals here should be read with that in mind.</w:t>
      </w:r>
    </w:p>
    <w:p>
      <w:pPr>
        <w:pStyle w:val="CaptionedFigure"/>
      </w:pPr>
      <w:r>
        <w:drawing>
          <wp:inline>
            <wp:extent cx="5334000" cy="3451411"/>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345141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That gain is contingent on the reported error metric. On unrefined matcher error the same comparison is exactly flat (0.091 → 0.091,</w:t>
      </w:r>
      <w:r>
        <w:t xml:space="preserve"> </w:t>
      </w:r>
      <w:r>
        <w:rPr>
          <w:i/>
          <w:iCs/>
        </w:rPr>
        <w:t xml:space="preserve">p</w:t>
      </w:r>
      <w:r>
        <w:t xml:space="preserve"> </w:t>
      </w:r>
      <w:r>
        <w:t xml:space="preserve">= 0.65), because the thin-plate-spline refinement stage turns three otherwise-successful direct-match fits into failures; the full metric-sensitivity analysis is in</w:t>
      </w:r>
      <w:r>
        <w:t xml:space="preserve"> </w:t>
      </w:r>
      <w:r>
        <w:rPr>
          <w:rStyle w:val="VerbatimChar"/>
        </w:rPr>
        <w:t xml:space="preserve">reports/metric_sensitivity.md</w:t>
      </w:r>
      <w:r>
        <w:t xml:space="preserve">. We therefore present the verified wrapper as a no-regression deployment option whose benefit is real but conditional, not as an established accuracy improvement. In the low-FOV stratum (0.05–0.25, n = 33) the wrapper flips a single pair to success, but direct RoMa already registers that pair to 3.3 px before refinement, so we do not count it as a recovered failure; no configuration registers a success in the extreme-FOV stratum (&lt;0.05, n = 4).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largest single off-the-shelf lever we found: SR@10 0.10 → 0.13 (+0.032, 95 % CI [+0.005, +0.064],</w:t>
      </w:r>
      <w:r>
        <w:t xml:space="preserve"> </w:t>
      </w:r>
      <w:r>
        <w:rPr>
          <w:i/>
          <w:iCs/>
        </w:rPr>
        <w:t xml:space="preserve">p</w:t>
      </w:r>
      <w:r>
        <w:t xml:space="preserve"> </w:t>
      </w:r>
      <w:r>
        <w:t xml:space="preserve">= 0.018). Like the wrapper gain it is metric-contingent, falling to +0.016 (95 % CI [−0.011, +0.043],</w:t>
      </w:r>
      <w:r>
        <w:t xml:space="preserve"> </w:t>
      </w:r>
      <w:r>
        <w:rPr>
          <w:i/>
          <w:iCs/>
        </w:rPr>
        <w:t xml:space="preserve">p</w:t>
      </w:r>
      <w:r>
        <w:t xml:space="preserve"> </w:t>
      </w:r>
      <w:r>
        <w:t xml:space="preserve">= 0.17) on unrefined error, so we report it as suggestive rather than established. The gain sits entirely in the ≥ 0.5 FOV stratum (0.13 → 0.18): cross-modal training repairs appearance on pairs that were nearly matchable, with an all-or-nothing profile (slightly worse SR@5, higher median ED when it misses). Extreme-FOV pairs (&lt;0.05, n = 4), which are small, low-texture, and modality-divergent, remain at zero for every configuration tested. A change of weights rather than of geometry produced the largest gain, which is consistent with appearance being an operative constraint, though on its own it does not rank appearance against scale. The finding is consistent with the AmalgaMatch authors’ own evaluation, which independently reports that MatchAnything-RoMa outperforms MatchAnything-ELoFTR across most subsets [1]; our contribution is to quantify where that gain lives (high FOV) and to show what it cannot reach (extreme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the ladder shows why that rejection is not informative about scale. The real distribution never isolates scale as the failure mode, because the extreme-FOV pairs are also the most appearance-divergent. It is tempting to conclude that they therefore fail on appearance first, and an earlier version of this paper did so, but the ladder does not support it: at the area ratios those pairs actually exhibit (0.00013 and 0.019) the wrapper already fails on the ladder itself, where appearance is held perfectly fixed (SR@10 0.025 at rung 0.05 and 0.000 at rung 0.02). Scale alone is sufficient to explain failure at those severities, so the benchmark cannot attribute them to appearance. Figure 5 shows the per-backbone FOV breakdown on the native (uncropped) pairs for comparison.</w:t>
      </w:r>
    </w:p>
    <w:p>
      <w:pPr>
        <w:pStyle w:val="CaptionedFigure"/>
      </w:pPr>
      <w:r>
        <w:drawing>
          <wp:inline>
            <wp:extent cx="5334000" cy="293370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0.0014): the wrapper’s scale mechanism is sound once scale is isolated.</w:t>
      </w:r>
    </w:p>
    <w:p>
      <w:pPr>
        <w:pStyle w:val="CaptionedFigure"/>
      </w:pPr>
      <w:r>
        <w:drawing>
          <wp:inline>
            <wp:extent cx="5334000" cy="4136571"/>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4136571"/>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with per-stratum n and Wilson 95 % confidence intervals. On the real distribution the low-FOV strata are simultaneously the most appearance-divergent (Pearson</w:t>
      </w:r>
      <w:r>
        <w:t xml:space="preserve"> </w:t>
      </w:r>
      <w:r>
        <w:rPr>
          <w:i/>
          <w:iCs/>
        </w:rPr>
        <w:t xml:space="preserve">r</w:t>
      </w:r>
      <w:r>
        <w:t xml:space="preserve"> </w:t>
      </w:r>
      <w:r>
        <w:t xml:space="preserve">= +0.215 between log area ratio and normalised mutual information,</w:t>
      </w:r>
      <w:r>
        <w:t xml:space="preserve"> </w:t>
      </w:r>
      <w:r>
        <w:rPr>
          <w:i/>
          <w:iCs/>
        </w:rPr>
        <w:t xml:space="preserve">p</w:t>
      </w:r>
      <w:r>
        <w:t xml:space="preserve"> </w:t>
      </w:r>
      <w:r>
        <w:t xml:space="preserve">= 0.003), confounding scale and appearance; extreme-FOV success (&lt;0.05, n = 4)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checkpoint selection. One selection step is an exception and we flag it here rather than in a footnote: the L2-SP anchor strength λ was chosen on held-out test retention, not on validation, because the validation split cannot see the C103 damage (Methods). That step compromises the independence of the test evaluation for every λ-dependent quantity, and we mark those quantities where they appear.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We state the evidence base before interpreting it, because it is small and it is not one-sided. The subclass holds three scenes: two in test (four pairs) and one in validation. The two pairs of a given scene share their SEM-SE source image, so the independent units here are scenes, not pairs. Across the three runs examined at the per-scene level the second test scene is unrecoverable in every one, plain or anchored (residual 370–1400 px against a ~12 px zero-shot baseline). That rules out an optimisation failure, but it does not on its own establish a coverage gap: the validation scene is the same untrained modality combination and is undamaged in both retained checkpoints. A result on four pairs from two scenes is consistent with a modality-coverage gap without demonstrating one, and we treat it that way throughout. The first test scene is not stable across runs: the plain fine-tune retains it in all three runs examined (≤31 px), but it is exactly this scene that the originally reported single run (run 0) broke (80/1220 px), so the headline</w:t>
      </w:r>
      <w:r>
        <w:t xml:space="preserve"> </w:t>
      </w:r>
      <w:r>
        <w:t xml:space="preserve">“catastrophic forgetting”</w:t>
      </w:r>
      <w:r>
        <w:t xml:space="preserve"> </w:t>
      </w:r>
      <w:r>
        <w:t xml:space="preserve">of the recoverable scene is itself a run-dependent event. What is consistent across runs is the unrecoverable second scene (runs 1–3) and the resulting modest SR@20 regression relative to zero-shot (0.393 → 0.26 ± 0.02 over eight runs); with only two C103 pairs in validation, a median selection metric cannot see this damage in any run. A FOV-ladder analysis on the fine-tuned backbone (same 63-pair testbed) confirms that the direction is right but partly redundant with the wrapper. Fine-tuning appears to help the moderate-FOV regime, holding SR@10 0.37–0.39 at rung 0.25 against 0.28–0.30 for the zero-shot model, and the pyramid still adds a significant but roughly halved scale lift at the 0.1 rung (+0.078, CI [+0.020, +0.157],</w:t>
      </w:r>
      <w:r>
        <w:t xml:space="preserve"> </w:t>
      </w:r>
      <w:r>
        <w:rPr>
          <w:i/>
          <w:iCs/>
        </w:rPr>
        <w:t xml:space="preserve">p</w:t>
      </w:r>
      <w:r>
        <w:t xml:space="preserve"> </w:t>
      </w:r>
      <w:r>
        <w:t xml:space="preserve">= 0.0154, against +0.150 on stock MatchAnything-RoMa). The cross-backbone half of that comparison should be read with care. Base-matchable pairs are selected per backbone, so the fine-tuned model is evaluated on 51 ladder pairs against 40 for MatchAnything-RoMa and 36 for RoMa, and 39 of the 63 testbed pairs are in its own training split; the comparison is therefore made on unequal and partly training-enriched denominators. The within-backbone wrapper contrast, which is what the</w:t>
      </w:r>
      <w:r>
        <w:t xml:space="preserve"> </w:t>
      </w:r>
      <w:r>
        <w:rPr>
          <w:i/>
          <w:iCs/>
        </w:rPr>
        <w:t xml:space="preserve">p</w:t>
      </w:r>
      <w:r>
        <w:t xml:space="preserve">-value above tests, is unaffected by this and survives restriction to held-out pairs. Fine-tuning and the wrapper address overlapping scale and appearance failures, so they do not fully stack.</w:t>
      </w:r>
    </w:p>
    <w:p>
      <w:pPr>
        <w:pStyle w:val="BodyText"/>
      </w:pPr>
      <w:r>
        <w:rPr>
          <w:b/>
          <w:bCs/>
        </w:rPr>
        <w:t xml:space="preserve">Table 2. Decoder-only fine-tuning on the held-out 28-pair test split: mean ± SD over eight training runs</w:t>
      </w:r>
      <w:r>
        <w:t xml:space="preserve"> </w:t>
      </w:r>
      <w:r>
        <w:t xml:space="preserve">(TPS-refined ED; zero-shot deterministic). These are independent runs, not seed replicates: only the augmentation sampler is seeded (Methods). Both deployment protocols, direct match and the verified pyramid-v2 wrapper, are evaluated on the same per-run checkpoints. SR@5 ≈ 0 throughout (the ~10.3 px GT affine-residual floor) and is omitted.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(8-run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0.236 ± 0.019</w:t>
            </w:r>
          </w:p>
        </w:tc>
        <w:tc>
          <w:tcPr/>
          <w:p>
            <w:pPr>
              <w:pStyle w:val="Compact"/>
              <w:jc w:val="right"/>
            </w:pPr>
            <w:r>
              <w:t xml:space="preserve">0.264 ± 0.019</w:t>
            </w:r>
          </w:p>
        </w:tc>
        <w:tc>
          <w:tcPr/>
          <w:p>
            <w:pPr>
              <w:pStyle w:val="Compact"/>
              <w:jc w:val="right"/>
            </w:pPr>
            <w:r>
              <w:t xml:space="preserve">49.6 ± 3.7</w:t>
            </w:r>
          </w:p>
        </w:tc>
      </w:tr>
      <w:tr>
        <w:tc>
          <w:tcPr/>
          <w:p>
            <w:pPr>
              <w:pStyle w:val="Compact"/>
            </w:pPr>
          </w:p>
        </w:tc>
        <w:tc>
          <w:tcPr/>
          <w:p>
            <w:pPr>
              <w:pStyle w:val="Compact"/>
            </w:pPr>
            <w:r>
              <w:t xml:space="preserve">pyramid v2</w:t>
            </w:r>
          </w:p>
        </w:tc>
        <w:tc>
          <w:tcPr/>
          <w:p>
            <w:pPr>
              <w:pStyle w:val="Compact"/>
              <w:jc w:val="right"/>
            </w:pPr>
            <w:r>
              <w:t xml:space="preserve">0.228 ± 0.027</w:t>
            </w:r>
          </w:p>
        </w:tc>
        <w:tc>
          <w:tcPr/>
          <w:p>
            <w:pPr>
              <w:pStyle w:val="Compact"/>
              <w:jc w:val="right"/>
            </w:pPr>
            <w:r>
              <w:t xml:space="preserve">0.264 ± 0.019</w:t>
            </w:r>
          </w:p>
        </w:tc>
        <w:tc>
          <w:tcPr/>
          <w:p>
            <w:pPr>
              <w:pStyle w:val="Compact"/>
              <w:jc w:val="right"/>
            </w:pPr>
            <w:r>
              <w:t xml:space="preserve">49.5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0.268 ± 0.019</w:t>
            </w:r>
          </w:p>
        </w:tc>
        <w:tc>
          <w:tcPr/>
          <w:p>
            <w:pPr>
              <w:pStyle w:val="Compact"/>
              <w:jc w:val="right"/>
            </w:pPr>
            <w:r>
              <w:t xml:space="preserve">50.8 ± 8.1</w:t>
            </w:r>
          </w:p>
        </w:tc>
      </w:tr>
      <w:tr>
        <w:tc>
          <w:tcPr/>
          <w:p>
            <w:pPr>
              <w:pStyle w:val="Compact"/>
            </w:pPr>
          </w:p>
        </w:tc>
        <w:tc>
          <w:tcPr/>
          <w:p>
            <w:pPr>
              <w:pStyle w:val="Compact"/>
            </w:pPr>
            <w:r>
              <w:t xml:space="preserve">pyramid v2</w:t>
            </w:r>
          </w:p>
        </w:tc>
        <w:tc>
          <w:tcPr/>
          <w:p>
            <w:pPr>
              <w:pStyle w:val="Compact"/>
              <w:jc w:val="right"/>
            </w:pPr>
            <w:r>
              <w:t xml:space="preserve">0.245 ± 0.023</w:t>
            </w:r>
          </w:p>
        </w:tc>
        <w:tc>
          <w:tcPr/>
          <w:p>
            <w:pPr>
              <w:pStyle w:val="Compact"/>
              <w:jc w:val="right"/>
            </w:pPr>
            <w:r>
              <w:t xml:space="preserve">0.272 ± 0.019</w:t>
            </w:r>
          </w:p>
        </w:tc>
        <w:tc>
          <w:tcPr/>
          <w:p>
            <w:pPr>
              <w:pStyle w:val="Compact"/>
              <w:jc w:val="right"/>
            </w:pPr>
            <w:r>
              <w:t xml:space="preserve">50.2 ± 6.6</w:t>
            </w:r>
          </w:p>
        </w:tc>
      </w:tr>
    </w:tbl>
    <w:p>
      <w:pPr>
        <w:pStyle w:val="BodyText"/>
      </w:pPr>
      <w:r>
        <w:t xml:space="preserve">Across eight runs the plain and L2-SP fine-tunes are statistically indistinguishable on every metric (overlapping ± SD), so the anchor is a zero-cost floor rather than a reliable improvement at this data budget. Both regress SR@20 modestly relative to zero-shot (0.393 → 0.26 / 0.27), within the resolution of a 28-pair test, while sharply improving in-distribution TEM median ED (~5× from ~321 px, consistent in direction across runs). Because each direct/pyramid pair shares a checkpoint, the verified wrapper does not stack on the fine-tune (SR@20 within ±0.01, median ED within a few px). The regression tracks damage to the untrained C103 SEM-SE↔LOM-height combination, of which one test scene is unrecoverable in every run and at every anchor strength. An earlier draw of three runs sat lower, at direct SR@10 0.095 ± 0.021, and its per-run values are reported alongside the retained runs in Table 3. It was not retained for a reason unrelated to its numbers: the rented GPU instance holding its checkpoints was released at the end of that session and the checkpoints were deleted with it, so those runs could not be re-evaluated under the pyramid protocol when that analysis was added. We report both draws because the gap between them is the most informative thing in this section. In success counts it is 2.7 versus 6.6 pairs of 28, a difference of about four pairs. Measured against run-to-run standard errors that is roughly nine, but the relevant unit for comparing two draws is the sampling error of a 28-pair success rate, against which the same gap is 2.0 standard errors. The apparent precision of the ± 0.019 figure is an artefact of SR@10 being quantised in steps of 1/28, and no SR number on a 28-pair split should be read more finely than that.</w:t>
      </w:r>
    </w:p>
    <w:bookmarkEnd w:id="31"/>
    <w:bookmarkStart w:id="32" w:name="Xf4268169580eb8c7cc600056e84551dcc441168"/>
    <w:p>
      <w:pPr>
        <w:pStyle w:val="Heading3"/>
      </w:pPr>
      <w:r>
        <w:t xml:space="preserve">A one-line weight anchor, tested across runs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 This was the wrong choice and we report it as such. On validation median ED the ranking was λ = 1.0 (15.8 px) best, then λ = 0 (17.2), λ = 0.1 (17.9) and λ = 0.01 (18.9) worst, so test-based selection overrode validation and picked the validation-worst value. Any λ-conditioned effect size below is therefore selection-biased in favour of L2-SP. That matters for how the single-run numbers should be read, but not for the eight-run conclusion, because that conclusion is a null: the bias runs toward L2-SP and L2-SP still does not separate from the plain fine-tune.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Both intervals are computed on the same 28 pairs that selected λ = 0.01 from four candidates, so they are reported for completeness only and should not be read as inference. Neither edge generalises: the eight-run analysis below, under both the direct and the pyramid deployment protocols (Table 2), leaves L2-SP and the plain fine-tune indistinguishable.</w:t>
      </w:r>
    </w:p>
    <w:p>
      <w:pPr>
        <w:pStyle w:val="BodyText"/>
      </w:pPr>
      <w:r>
        <w:t xml:space="preserve">Eight training runs temper that reading. Re-running the plain (λ = 0) and anchored (λ = 0.01) fine-tunes across eight runs with the identical recipe (Table 2; per-run values in Table 3) leaves the two configurations statistically indistinguishable on every test metric: direct-match SR@10 0.236 ± 0.019 (plain) versus 0.250 ± 0.000 (L2-SP), SR@20 0.264 ± 0.019 versus 0.268 ± 0.019, median ED 49.6 ± 3.7 versus 50.8 ± 8.1 px. The single-run median-ED edge does not survive as a cross-run effect, and on the recoverable C103 scene the anchor is if anything less stable than the plain fine-tune, retaining it in one of three runs against three of three for λ = 0. The one effect that is robust across all six runs is the opposite of an anchor success: the second C103 test scene is unrecoverable in every run and at every λ. That rules out an optimisation or anchor-strength explanation, and is consistent with a modality-coverage gap, but the validation scene of the same untrained combination survives intact, so four pairs from two scenes cannot establish coverage as the cause.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run-robust improvement; quantifying that is left to future work. With only 28 test pairs the SR@20 comparisons are low-power, so the regression should be read as</w:t>
      </w:r>
      <w:r>
        <w:t xml:space="preserve"> </w:t>
      </w:r>
      <w:r>
        <w:t xml:space="preserve">“modest and within run-to-run noise”</w:t>
      </w:r>
      <w:r>
        <w:t xml:space="preserve"> </w:t>
      </w:r>
      <w:r>
        <w:t xml:space="preserve">rather than as proven equivalence, and a formal equivalence test on a larger held-out set is planned. Evaluating both deployment protocols on the same per-run checkpoints (Table 2) shows the verified wrapper neither helps nor hurts the fine-tuned backbone on the real test split, with pyramid and direct SR@20 coinciding at 0.264 (plain) and within 0.004 for L2-SP (0.268 direct, 0.272 pyramid);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Per-run direct-match results for both draws</w:t>
      </w:r>
      <w:r>
        <w:t xml:space="preserve"> </w:t>
      </w:r>
      <w:r>
        <w:t xml:space="preserve">(28-pair test split, TPS-refined ED). Draw B runs 4–8 are the five runs underlying the eight-run aggregate in Table 2. Draw A is the earlier, non-retained draw of three runs whose checkpoints were deleted when the GPU instance was released; its numbers are reported here in full at Reviewer 1’s request, so that both draws can be compared directly. Draw B runs 1–3 also contribute to the Table 2 aggregate, but their per-run values were not preserved in the result files and are recoverable only by arithmetic from the aggregate, so we do not tabulate them as measurements.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Draw</w:t>
            </w:r>
          </w:p>
        </w:tc>
        <w:tc>
          <w:tcPr/>
          <w:p>
            <w:pPr>
              <w:pStyle w:val="Compact"/>
            </w:pPr>
            <w:r>
              <w:t xml:space="preserve">Config</w:t>
            </w:r>
          </w:p>
        </w:tc>
        <w:tc>
          <w:tcPr/>
          <w:p>
            <w:pPr>
              <w:pStyle w:val="Compact"/>
              <w:jc w:val="right"/>
            </w:pPr>
            <w:r>
              <w:t xml:space="preserve">Run</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A (not retained)</w:t>
            </w:r>
          </w:p>
        </w:tc>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A (not retained)</w:t>
            </w:r>
          </w:p>
        </w:tc>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A (not retained)</w:t>
            </w:r>
          </w:p>
        </w:tc>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A (not retained)</w:t>
            </w:r>
          </w:p>
        </w:tc>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A (not retained)</w:t>
            </w:r>
          </w:p>
        </w:tc>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A (not retained)</w:t>
            </w:r>
          </w:p>
        </w:tc>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r>
        <w:tc>
          <w:tcPr/>
          <w:p>
            <w:pPr>
              <w:pStyle w:val="Compact"/>
            </w:pPr>
            <w:r>
              <w:t xml:space="preserve">B</w:t>
            </w:r>
          </w:p>
        </w:tc>
        <w:tc>
          <w:tcPr/>
          <w:p>
            <w:pPr>
              <w:pStyle w:val="Compact"/>
            </w:pPr>
            <w:r>
              <w:t xml:space="preserve">plain fine-tune (λ = 0)</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48.3</w:t>
            </w:r>
          </w:p>
        </w:tc>
      </w:tr>
      <w:tr>
        <w:tc>
          <w:tcPr/>
          <w:p>
            <w:pPr>
              <w:pStyle w:val="Compact"/>
            </w:pPr>
            <w:r>
              <w:t xml:space="preserve">B</w:t>
            </w:r>
          </w:p>
        </w:tc>
        <w:tc>
          <w:tcPr/>
          <w:p>
            <w:pPr>
              <w:pStyle w:val="Compact"/>
            </w:pPr>
            <w:r>
              <w:t xml:space="preserve">plain fine-tune (λ = 0)</w:t>
            </w:r>
          </w:p>
        </w:tc>
        <w:tc>
          <w:tcPr/>
          <w:p>
            <w:pPr>
              <w:pStyle w:val="Compact"/>
              <w:jc w:val="right"/>
            </w:pPr>
            <w:r>
              <w:t xml:space="preserve">5</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47.5</w:t>
            </w:r>
          </w:p>
        </w:tc>
      </w:tr>
      <w:tr>
        <w:tc>
          <w:tcPr/>
          <w:p>
            <w:pPr>
              <w:pStyle w:val="Compact"/>
            </w:pPr>
            <w:r>
              <w:t xml:space="preserve">B</w:t>
            </w:r>
          </w:p>
        </w:tc>
        <w:tc>
          <w:tcPr/>
          <w:p>
            <w:pPr>
              <w:pStyle w:val="Compact"/>
            </w:pPr>
            <w:r>
              <w:t xml:space="preserve">plain fine-tune (λ = 0)</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49.3</w:t>
            </w:r>
          </w:p>
        </w:tc>
      </w:tr>
      <w:tr>
        <w:tc>
          <w:tcPr/>
          <w:p>
            <w:pPr>
              <w:pStyle w:val="Compact"/>
            </w:pPr>
            <w:r>
              <w:t xml:space="preserve">B</w:t>
            </w:r>
          </w:p>
        </w:tc>
        <w:tc>
          <w:tcPr/>
          <w:p>
            <w:pPr>
              <w:pStyle w:val="Compact"/>
            </w:pPr>
            <w:r>
              <w:t xml:space="preserve">plain fine-tune (λ = 0)</w:t>
            </w:r>
          </w:p>
        </w:tc>
        <w:tc>
          <w:tcPr/>
          <w:p>
            <w:pPr>
              <w:pStyle w:val="Compact"/>
              <w:jc w:val="right"/>
            </w:pPr>
            <w:r>
              <w:t xml:space="preserve">7</w:t>
            </w:r>
          </w:p>
        </w:tc>
        <w:tc>
          <w:tcPr/>
          <w:p>
            <w:pPr>
              <w:pStyle w:val="Compact"/>
              <w:jc w:val="right"/>
            </w:pPr>
            <w:r>
              <w:t xml:space="preserve">0.214</w:t>
            </w:r>
          </w:p>
        </w:tc>
        <w:tc>
          <w:tcPr/>
          <w:p>
            <w:pPr>
              <w:pStyle w:val="Compact"/>
              <w:jc w:val="right"/>
            </w:pPr>
            <w:r>
              <w:t xml:space="preserve">0.286</w:t>
            </w:r>
          </w:p>
        </w:tc>
        <w:tc>
          <w:tcPr/>
          <w:p>
            <w:pPr>
              <w:pStyle w:val="Compact"/>
              <w:jc w:val="right"/>
            </w:pPr>
            <w:r>
              <w:t xml:space="preserve">47.2</w:t>
            </w:r>
          </w:p>
        </w:tc>
      </w:tr>
      <w:tr>
        <w:tc>
          <w:tcPr/>
          <w:p>
            <w:pPr>
              <w:pStyle w:val="Compact"/>
            </w:pPr>
            <w:r>
              <w:t xml:space="preserve">B</w:t>
            </w:r>
          </w:p>
        </w:tc>
        <w:tc>
          <w:tcPr/>
          <w:p>
            <w:pPr>
              <w:pStyle w:val="Compact"/>
            </w:pPr>
            <w:r>
              <w:t xml:space="preserve">plain fine-tune (λ = 0)</w:t>
            </w:r>
          </w:p>
        </w:tc>
        <w:tc>
          <w:tcPr/>
          <w:p>
            <w:pPr>
              <w:pStyle w:val="Compact"/>
              <w:jc w:val="right"/>
            </w:pPr>
            <w:r>
              <w:t xml:space="preserve">8</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47.1</w:t>
            </w:r>
          </w:p>
        </w:tc>
      </w:tr>
      <w:tr>
        <w:tc>
          <w:tcPr/>
          <w:p>
            <w:pPr>
              <w:pStyle w:val="Compact"/>
            </w:pPr>
            <w:r>
              <w:t xml:space="preserve">B</w:t>
            </w:r>
          </w:p>
        </w:tc>
        <w:tc>
          <w:tcPr/>
          <w:p>
            <w:pPr>
              <w:pStyle w:val="Compact"/>
            </w:pPr>
            <w:r>
              <w:t xml:space="preserve">L2-SP (λ = 0.01)</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70.2</w:t>
            </w:r>
          </w:p>
        </w:tc>
      </w:tr>
      <w:tr>
        <w:tc>
          <w:tcPr/>
          <w:p>
            <w:pPr>
              <w:pStyle w:val="Compact"/>
            </w:pPr>
            <w:r>
              <w:t xml:space="preserve">B</w:t>
            </w:r>
          </w:p>
        </w:tc>
        <w:tc>
          <w:tcPr/>
          <w:p>
            <w:pPr>
              <w:pStyle w:val="Compact"/>
            </w:pPr>
            <w:r>
              <w:t xml:space="preserve">L2-SP (λ = 0.01)</w:t>
            </w:r>
          </w:p>
        </w:tc>
        <w:tc>
          <w:tcPr/>
          <w:p>
            <w:pPr>
              <w:pStyle w:val="Compact"/>
              <w:jc w:val="right"/>
            </w:pPr>
            <w:r>
              <w:t xml:space="preserve">5</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50.2</w:t>
            </w:r>
          </w:p>
        </w:tc>
      </w:tr>
      <w:tr>
        <w:tc>
          <w:tcPr/>
          <w:p>
            <w:pPr>
              <w:pStyle w:val="Compact"/>
            </w:pPr>
            <w:r>
              <w:t xml:space="preserve">B</w:t>
            </w:r>
          </w:p>
        </w:tc>
        <w:tc>
          <w:tcPr/>
          <w:p>
            <w:pPr>
              <w:pStyle w:val="Compact"/>
            </w:pPr>
            <w:r>
              <w:t xml:space="preserve">L2-SP (λ = 0.01)</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43.4</w:t>
            </w:r>
          </w:p>
        </w:tc>
      </w:tr>
      <w:tr>
        <w:tc>
          <w:tcPr/>
          <w:p>
            <w:pPr>
              <w:pStyle w:val="Compact"/>
            </w:pPr>
            <w:r>
              <w:t xml:space="preserve">B</w:t>
            </w:r>
          </w:p>
        </w:tc>
        <w:tc>
          <w:tcPr/>
          <w:p>
            <w:pPr>
              <w:pStyle w:val="Compact"/>
            </w:pPr>
            <w:r>
              <w:t xml:space="preserve">L2-SP (λ = 0.01)</w:t>
            </w:r>
          </w:p>
        </w:tc>
        <w:tc>
          <w:tcPr/>
          <w:p>
            <w:pPr>
              <w:pStyle w:val="Compact"/>
              <w:jc w:val="right"/>
            </w:pPr>
            <w:r>
              <w:t xml:space="preserve">7</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50.6</w:t>
            </w:r>
          </w:p>
        </w:tc>
      </w:tr>
      <w:tr>
        <w:tc>
          <w:tcPr/>
          <w:p>
            <w:pPr>
              <w:pStyle w:val="Compact"/>
            </w:pPr>
            <w:r>
              <w:t xml:space="preserve">B</w:t>
            </w:r>
          </w:p>
        </w:tc>
        <w:tc>
          <w:tcPr/>
          <w:p>
            <w:pPr>
              <w:pStyle w:val="Compact"/>
            </w:pPr>
            <w:r>
              <w:t xml:space="preserve">L2-SP (λ = 0.01)</w:t>
            </w:r>
          </w:p>
        </w:tc>
        <w:tc>
          <w:tcPr/>
          <w:p>
            <w:pPr>
              <w:pStyle w:val="Compact"/>
              <w:jc w:val="right"/>
            </w:pPr>
            <w:r>
              <w:t xml:space="preserve">8</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47.8</w:t>
            </w:r>
          </w:p>
        </w:tc>
      </w:tr>
    </w:tbl>
    <w:p>
      <w:pPr>
        <w:pStyle w:val="BodyText"/>
      </w:pPr>
      <w:r>
        <w:t xml:space="preserve">Read across draws, the two are not ordered the same way on every metric. Draw A is lower on SR@10 (0.095 vs. 0.228 for the plain fine-tune) but higher on SR@20 (0.297 vs. 0.264) and lower, meaning better, on median ED (46.0 vs. 49.6 px). Retaining draw B rather than draw A therefore made the fine-tune look worse, not better, on the two metrics this section actually turns on, which is the clearest evidence available that the draws were not selected on their results.</w:t>
      </w:r>
    </w:p>
    <w:p>
      <w:pPr>
        <w:pStyle w:val="BodyText"/>
      </w:pPr>
      <w:r>
        <w:t xml:space="preserve">Across the five draw-B runs SR@10 spans 0.214–0.250 and SR@20 0.250–0.286 for both configurations, overlapping rather than separating. Median ED differs in scatter rather than central tendency (plain 47.1–49.3 vs. L2-SP 43.4–70.2 px, the L2-SP range widened by a single high-residual run), so no per-run separation supports calling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extreme-FOV success (&lt;0.05) is zero for every configuration. With only four pairs in that stratum the hypothesis was in any case untestable on this benchmark, which we regard as a finding about AmalgaMatch rather than about the wrapper. The wrapper mechanism is nonetheless</w:t>
      </w:r>
      <w:r>
        <w:t xml:space="preserve"> </w:t>
      </w:r>
      <w:r>
        <w:rPr>
          <w:b/>
          <w:bCs/>
        </w:rPr>
        <w:t xml:space="preserve">validated</w:t>
      </w:r>
      <w:r>
        <w:t xml:space="preserve"> </w:t>
      </w:r>
      <w:r>
        <w:t xml:space="preserve">independently by the controlled FOV ladder, which is the one headline result here that holds under both error metrics.</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narrower than the one we set out to test: cross-modal appearance and FOV mismatch are confounded on AmalgaMatch, and the benchmark cannot rank them. The confound is now measured rather than asserted. Normalised mutual information on the GT-aligned overlap correlates with log area ratio at</w:t>
      </w:r>
      <w:r>
        <w:t xml:space="preserve"> </w:t>
      </w:r>
      <w:r>
        <w:rPr>
          <w:i/>
          <w:iCs/>
        </w:rPr>
        <w:t xml:space="preserve">r</w:t>
      </w:r>
      <w:r>
        <w:t xml:space="preserve"> </w:t>
      </w:r>
      <w:r>
        <w:t xml:space="preserve">= +0.215 (</w:t>
      </w:r>
      <w:r>
        <w:rPr>
          <w:i/>
          <w:iCs/>
        </w:rPr>
        <w:t xml:space="preserve">p</w:t>
      </w:r>
      <w:r>
        <w:t xml:space="preserve"> </w:t>
      </w:r>
      <w:r>
        <w:t xml:space="preserve">= 0.003), and median NMI is 0.0022 below area ratio 0.25 against 0.0725 at ≥ 0.5, so the low-FOV pairs are also the low-mutual-information pairs. Splitting on both axes at once does not rescue a ranking, and with successes concentrated in a minority of scenes (10 of 35 for RoMa, 15 of 35 for MatchAnything-RoMa) we bootstrap the cells clustered on scene rather than on pairs. At fixed high FOV, moving from low to high NMI changes SR@10 by −0.002 for RoMa (</w:t>
      </w:r>
      <w:r>
        <w:rPr>
          <w:i/>
          <w:iCs/>
        </w:rPr>
        <w:t xml:space="preserve">p</w:t>
      </w:r>
      <w:r>
        <w:t xml:space="preserve"> </w:t>
      </w:r>
      <w:r>
        <w:t xml:space="preserve">= 0.90) and +0.076 for MatchAnything-RoMa (</w:t>
      </w:r>
      <w:r>
        <w:rPr>
          <w:i/>
          <w:iCs/>
        </w:rPr>
        <w:t xml:space="preserve">p</w:t>
      </w:r>
      <w:r>
        <w:t xml:space="preserve"> </w:t>
      </w:r>
      <w:r>
        <w:t xml:space="preserve">= 0.53). At fixed high appearance, moving from low to high FOV changes it by +0.114 (</w:t>
      </w:r>
      <w:r>
        <w:rPr>
          <w:i/>
          <w:iCs/>
        </w:rPr>
        <w:t xml:space="preserve">p</w:t>
      </w:r>
      <w:r>
        <w:t xml:space="preserve"> </w:t>
      </w:r>
      <w:r>
        <w:t xml:space="preserve">= 0.052) and +0.169 (</w:t>
      </w:r>
      <w:r>
        <w:rPr>
          <w:i/>
          <w:iCs/>
        </w:rPr>
        <w:t xml:space="preserve">p</w:t>
      </w:r>
      <w:r>
        <w:t xml:space="preserve"> </w:t>
      </w:r>
      <w:r>
        <w:t xml:space="preserve">= 0.049). Those two FOV contrasts are the only ones in the whole 2×2 that come near significance, and the marginal effects of both axes are individually null once scenes rather than pairs are resampled (FOV +0.085 and +0.106; appearance −0.022 and +0.020). The direction of what little signal there is runs toward FOV rather than appearance, which is the opposite of what we expected, but it is nowhere near strong enough to invert the claim: the cells are small, the scene clustering is severe, and NMI captures only part of what modality divergence means. What the benchmark does establish is a leverage limit: 61 of 187 pairs sit below area ratio 0.5, and at most three of them are registered by any zero-shot or wrapped configuration, so the regime that motivates the whole problem is one in which every current foundation matcher fails almost everywhere. Domain fine-tuning remains the intervention with the largest single effect we observed (~5× on in-distribution TEM), and the wrapper remains the intervention that works when scale is isolated experimentally. Which of the two constraints binds harder in general is a question this benchmark is not powered to answer.</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reported as mean ± SD over eight training runs, evaluated on the same per-run checkpoints (Table 2). We describe these as runs rather than seeds deliberately. The training script exposes a</w:t>
      </w:r>
      <w:r>
        <w:t xml:space="preserve"> </w:t>
      </w:r>
      <w:r>
        <w:rPr>
          <w:rStyle w:val="VerbatimChar"/>
        </w:rPr>
        <w:t xml:space="preserve">--seed</w:t>
      </w:r>
      <w:r>
        <w:t xml:space="preserve"> </w:t>
      </w:r>
      <w:r>
        <w:t xml:space="preserve">argument, but it reaches only the augmentation sampler; model initialisation is inherited from the pretrained checkpoint, and neither the data-loader shuffle order nor the CUDA kernels are seeded at all. The eight runs therefore differ in more than a random seed, and an earlier draw of three runs whose checkpoints were not retained sat well below them at direct SR@10 0.095 ± 0.021 (Table 3). We report this as a limitation of the experiment rather than a property of the method: it is not a demonstration that decoder fine-tuning is irreproducible at fixed seed, because reproducibility at fixed seed was never established. Adding full seeding is the obvious first step for any replication, and the between-draw gap of about four pairs in 28 is within the sampling error of a 28-pair success rate — itself a caution against over-reading any single-run SR number on this benchmark. The reliable comparison is the within-checkpoint one (direct versus pyramid in Table 2), which shows the recommended deployment configuration, the verified wrapper on the fine-tune, neither gains nor loses over direct matching across runs. The 28-pair test split is small, so SR comparisons are low-power and the run-to-run scatter is correspondingly large, which is why we read the fine-tune as a large in-distribution gain accompanied by a modest, run-noisy SR regression rather than a clean net improvement, and why we do not claim the L2-SP anchor as a reliable fix. A formal equivalence test on a larger held-out set and at least one stronger continual-learning baseline (LoRA-style low-rank adaptation) remain planned and not yet run. Two further limitations bear on how the headline numbers should be read. First, accuracy is reported after thin-plate-spline refinement, and that choice is load-bearing: on unrefined matcher error the wrapper gain over direct matching is exactly flat (</w:t>
      </w:r>
      <w:r>
        <w:rPr>
          <w:i/>
          <w:iCs/>
        </w:rPr>
        <w:t xml:space="preserve">p</w:t>
      </w:r>
      <w:r>
        <w:t xml:space="preserve"> </w:t>
      </w:r>
      <w:r>
        <w:t xml:space="preserve">= 0.65) and the MatchAnything-RoMa gain over RoMa falls to</w:t>
      </w:r>
      <w:r>
        <w:t xml:space="preserve"> </w:t>
      </w:r>
      <w:r>
        <w:rPr>
          <w:i/>
          <w:iCs/>
        </w:rPr>
        <w:t xml:space="preserve">p</w:t>
      </w:r>
      <w:r>
        <w:t xml:space="preserve"> </w:t>
      </w:r>
      <w:r>
        <w:t xml:space="preserve">= 0.17, because refinement converts thirteen otherwise-successful fits into failures across the configuration set. Refinement is also not applied uniformly, since the dense RoMa-family configurations return a refined estimate on all 187 pairs while the weaker configurations fall back to the unrefined estimate on the majority of theirs, so Table 1 compares configurations on a partly mixed metric. The full analysis is released as</w:t>
      </w:r>
      <w:r>
        <w:t xml:space="preserve"> </w:t>
      </w:r>
      <w:r>
        <w:rPr>
          <w:rStyle w:val="VerbatimChar"/>
        </w:rPr>
        <w:t xml:space="preserve">reports/metric_sensitivity.md</w:t>
      </w:r>
      <w:r>
        <w:t xml:space="preserve">. Second, the fine-tuned-backbone FOV ladder runs on a 63-pair testbed of which 39 pairs are in the fine-tuning training split, so the comparison between the fine-tuned and zero-shot backbones on that ladder is made on training-enriched and per-backbone-differing pair sets; restricting it to held-out pairs leaves the wrapper conclusion intact and slightly stronger (at rung 0.1, 0.045 → 0.227 against the 0.075 → 0.225 reported here). Finally, the fine-tuning study rests on 131 training pairs over 12 subclasses, and the whole forgetting analysis rests on a single held-out subclass: four test pairs from two scenes, plus one validation scene of the same modality combination that is undamaged. The unrecoverable test scene, broken in every run and at every anchor strength, rules out optimisation as the explanation and is consistent with a breadth-of-coverage bottleneck, but it does not establish one, and a split with several untrained modality combinations would be needed to do so.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bins of the GT-implied target/source area ratio, matching the axis convention of Fig. 5, with edges &lt;0.05 (n = 4), 0.05–0.25 (n = 33), 0.25–0.5 (n = 24) and ≥0.5 (n = 126).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 Of those 63 pairs, 39 are in the fine-tuning training split, 13 in validation and 11 in test, and the base-matchable subset is selected per backbone, so cross-backbone comparisons on the ladder rest on different and partly training-enriched denominators; the held-out-only recomputation is reported in Limitations.</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latter is a protocol defect, disclosed in Results: the validation split cannot resolve the C103 damage, so λ was selected on the test split, which biases every λ-conditioned effect size toward L2-SP and leaves the eight-run null unaffected. A replication should select λ on validation, or on a held-out fold constructed to contain the untrained modality combination. The plain (λ = 0) and anchored (λ = 0.01) recipes are each run eight times for the variance analysis; only the augmentation sampler is seeded, so these are independent runs rather than seed replicates.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with the exception of the per-run values of three fine-tuning runs that contribute to the Table 2 aggregate and whose checkpoints and per-run result rows were not preserved (Table 3). The metric-sensitivity and appearance-axis analyses regenerate from</w:t>
      </w:r>
      <w:r>
        <w:t xml:space="preserve"> </w:t>
      </w:r>
      <w:r>
        <w:rPr>
          <w:rStyle w:val="VerbatimChar"/>
        </w:rPr>
        <w:t xml:space="preserve">scripts/metric_sensitivity.py</w:t>
      </w:r>
      <w:r>
        <w:t xml:space="preserve"> </w:t>
      </w:r>
      <w:r>
        <w:t xml:space="preserve">and</w:t>
      </w:r>
      <w:r>
        <w:t xml:space="preserve"> </w:t>
      </w:r>
      <w:r>
        <w:rPr>
          <w:rStyle w:val="VerbatimChar"/>
        </w:rPr>
        <w:t xml:space="preserve">scripts/appearance_axis.py</w:t>
      </w:r>
      <w:r>
        <w:t xml:space="preserve">.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1"/>
    <w:bookmarkStart w:id="42" w:name="competing-interests"/>
    <w:p>
      <w:pPr>
        <w:pStyle w:val="Heading2"/>
      </w:pPr>
      <w:r>
        <w:t xml:space="preserve">Competing interests</w:t>
      </w:r>
    </w:p>
    <w:p>
      <w:pPr>
        <w:pStyle w:val="FirstParagraph"/>
      </w:pPr>
      <w:r>
        <w:t xml:space="preserve">The author declares no competing interests.</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2026-08-24T19:50:38Z</dcterms:created>
  <dcterms:modified xsi:type="dcterms:W3CDTF">2026-08-24T19:50:38Z</dcterms:modified>
</cp:coreProperties>
</file>

<file path=docProps/custom.xml><?xml version="1.0" encoding="utf-8"?>
<Properties xmlns="http://schemas.openxmlformats.org/officeDocument/2006/custom-properties" xmlns:vt="http://schemas.openxmlformats.org/officeDocument/2006/docPropsVTypes"/>
</file>