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808c8cffb36cd7c71942a068da11385ef6f4db"/>
    <w:p>
      <w:pPr>
        <w:pStyle w:val="Heading1"/>
      </w:pPr>
      <w:r>
        <w:t xml:space="preserve">Cross-modal appearance, not field-of-view mismatch, is the dominant constraint on foundation-model registration in the AmalgaMatch correlative-microscopy benchmark</w:t>
      </w:r>
    </w:p>
    <w:p>
      <w:pPr>
        <w:pStyle w:val="FirstParagraph"/>
      </w:pPr>
      <w:r>
        <w:rPr>
          <w:b/>
          <w:bCs/>
        </w:rPr>
        <w:t xml:space="preserve">Frank Cai</w:t>
      </w:r>
      <w:r>
        <w:t xml:space="preserve"> </w:t>
      </w:r>
      <w:r>
        <w:t xml:space="preserve">Independent Researcher · frankyc11223@gmail.com</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visual appearance and often differ in field of view (FOV) by more than an order of magnitude, defeating classical feature-based registration. We asked whether a scale-aware pyramidal patching wrapper around pretrained dense matchers (RoMa, the ELoFTR family, MatchAnything) could lift cross-modal registration on the AmalgaMatch benchmark (187 pairs, 19 material subsets), particularly at severe FOV mismatch. A full controls-and-ablations pass gave three results. A naive tiling pyramid</w:t>
      </w:r>
      <w:r>
        <w:t xml:space="preserve"> </w:t>
      </w:r>
      <w:r>
        <w:rPr>
          <w:i/>
          <w:iCs/>
        </w:rPr>
        <w:t xml:space="preserve">degrades</w:t>
      </w:r>
      <w:r>
        <w:t xml:space="preserve"> </w:t>
      </w:r>
      <w:r>
        <w:t xml:space="preserve">dense matchers badly, because they never abstain: every tile returns thousands of confident matches that flood robust estimation, and median error rises from 76 to 1794 px. A redesigned verified coarse-to-fine wrapper recovers a small but significant gain (success rate at 10 px, SR@10, 0.10 → 0.12,</w:t>
      </w:r>
      <w:r>
        <w:t xml:space="preserve"> </w:t>
      </w:r>
      <w:r>
        <w:rPr>
          <w:i/>
          <w:iCs/>
        </w:rPr>
        <w:t xml:space="preserve">p</w:t>
      </w:r>
      <w:r>
        <w:t xml:space="preserve"> </w:t>
      </w:r>
      <w:r>
        <w:t xml:space="preserve">= 0.017) without losing any pair, yet success at FOV ≤ 5 % stays at zero. The largest off-the-shelf lever was instead the backbone. Cross-modal-trained MatchAnything-RoMa weights gave the only significant gain over the zero-shot bar (SR@10 +0.032,</w:t>
      </w:r>
      <w:r>
        <w:t xml:space="preserve"> </w:t>
      </w:r>
      <w:r>
        <w:rPr>
          <w:i/>
          <w:iCs/>
        </w:rPr>
        <w:t xml:space="preserve">p</w:t>
      </w:r>
      <w:r>
        <w:t xml:space="preserve"> </w:t>
      </w:r>
      <w:r>
        <w:t xml:space="preserve">= 0.018), and that gain sat entirely among high-FOV pairs. The pattern points to the dominant constraint on this benchmark: cross-modal appearance, not scale, is what fails. A controlled FOV-ladder experiment crops real base-matchable pairs to sweep FOV with appearance held fixed, and with scale thus isolated the same wrapper triples success at 10 % FOV (SR@10 0.07 → 0.23,</w:t>
      </w:r>
      <w:r>
        <w:t xml:space="preserve"> </w:t>
      </w:r>
      <w:r>
        <w:rPr>
          <w:i/>
          <w:iCs/>
        </w:rPr>
        <w:t xml:space="preserve">p</w:t>
      </w:r>
      <w:r>
        <w:t xml:space="preserve"> </w:t>
      </w:r>
      <w:r>
        <w:t xml:space="preserve">= 0.0014). The scale mechanism is therefore sound, and the real distribution simply never presents scale as the isolated failure mode. Decoder-only fine-tuning of MatchAnything-RoMa on 131 held-out-split training pairs then cut median error on in-distribution TEM pairs 5.2× (321 → 62 px), but it regressed overall SR@20 (0.393 → 0.250) by forgetting a modality absent from training. A one-line L2-SP weight anchor returns SR@20 to a level no longer distinguishable from zero-shot (</w:t>
      </w:r>
      <w:r>
        <w:rPr>
          <w:i/>
          <w:iCs/>
        </w:rPr>
        <w:t xml:space="preserve">p</w:t>
      </w:r>
      <w:r>
        <w:t xml:space="preserve"> </w:t>
      </w:r>
      <w:r>
        <w:t xml:space="preserve">= 0.91, a null limited by the 28-pair test rather than proven equivalence) while sharpening median error. Deployable cross-modal microscopy registration therefore needs a forgetting-robust domain fine-tune over broad modality coverage, with the verified pyramid wrapper as a complementary scale layer for genuinely multiscale tasks. Because the appearance conclusion is reached by elimination rather than by an appearance-swept experiment, we present it as the dominant factor on AmalgaMatch and not as a property of cross-modal microscopy in general.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catastrophic forgetting, and show that a one-line weight anchor largely removes it. The contributions are four. First, a mechanistic account of why pyramidal wrappers break non-abstaining dense matchers, together with a verified coarse-to-fine wrapper that does not. Second, a controlled FOV-ladder protocol that decouples scale from appearance and validates the wrapper’s scale mechanism. Third, evidence that cross-modal appearance, not FOV, is the dominant constraint on this benchmark. Fourth, a forgetting-robust decoder-only fine-tuning recipe for cross-modal microscopy matching.</w:t>
      </w:r>
    </w:p>
    <w:bookmarkEnd w:id="10"/>
    <w:bookmarkStart w:id="19" w:name="results"/>
    <w:p>
      <w:pPr>
        <w:pStyle w:val="Heading2"/>
      </w:pPr>
      <w:r>
        <w:t xml:space="preserve">Results</w:t>
      </w:r>
    </w:p>
    <w:bookmarkStart w:id="11"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bookmarkEnd w:id="11"/>
    <w:bookmarkStart w:id="12"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12"/>
    <w:bookmarkStart w:id="13"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13"/>
    <w:bookmarkStart w:id="14"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14"/>
    <w:bookmarkStart w:id="15"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5):</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4 shows the per-backbone FOV breakdown on the native (uncropped) pairs for comparison.</w:t>
      </w:r>
    </w:p>
    <w:bookmarkEnd w:id="15"/>
    <w:bookmarkStart w:id="16"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badly: the C103 SEM-SE↔LOM-height subclass has zero training pairs and exists only in val/test; zero-shot MatchAnything-RoMa solved all four test pairs (7–16 px), whereas the fine-tuned decoder broke three of them outright (109/375/953 px). Those four pairs account for the</w:t>
      </w:r>
      <w:r>
        <w:t xml:space="preserve"> </w:t>
      </w:r>
      <w:r>
        <w:rPr>
          <w:i/>
          <w:iCs/>
        </w:rPr>
        <w:t xml:space="preserve">entire</w:t>
      </w:r>
      <w:r>
        <w:t xml:space="preserve"> </w:t>
      </w:r>
      <w:r>
        <w:t xml:space="preserve">SR@20 regression (0.393 → 0.250, CI [−0.286, −0.036]). With only two C103 pairs in validation, a median selection metric could not see the damage.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w:t>
      </w:r>
      <w:r>
        <w:t xml:space="preserve"> </w:t>
      </w:r>
      <w:r>
        <w:t xml:space="preserve">(direct match, TPS-refined ED, paired bootstrap</w:t>
      </w:r>
      <w:r>
        <w:t xml:space="preserve"> </w:t>
      </w:r>
      <w:r>
        <w:rPr>
          <w:i/>
          <w:iCs/>
        </w:rPr>
        <w:t xml:space="preserve">B</w:t>
      </w:r>
      <w:r>
        <w:t xml:space="preserve"> </w:t>
      </w:r>
      <w:r>
        <w:t xml:space="preserve">= 10,000).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0.000</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(fine-tuned)</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51.6</w:t>
            </w:r>
          </w:p>
        </w:tc>
      </w:tr>
    </w:tbl>
    <w:p>
      <w:pPr>
        <w:pStyle w:val="BodyText"/>
      </w:pPr>
      <w:r>
        <w:t xml:space="preserve">SR@10 +0.036 (n.s.); SR@20 −0.143, CI [−0.286, −0.036] (significantly worse); median ED −31.8 px (n.s.). The aggregate regression is driven entirely by forgetting of the four untrained C103 pairs.</w:t>
      </w:r>
    </w:p>
    <w:bookmarkEnd w:id="16"/>
    <w:bookmarkStart w:id="17" w:name="Xa9aafa6498ddd135b071792b0a7de665f676b63"/>
    <w:p>
      <w:pPr>
        <w:pStyle w:val="Heading3"/>
      </w:pPr>
      <w:r>
        <w:t xml:space="preserve">A one-line weight anchor removes the forgetting</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A light anchor wins. At λ = 0.01, the recoverable C103 scene, the modality the plain fine-tune broke, drops from 80/1220 px back to 16/24 px, close to zero-shot’s ~12 px; the other C103 scene stays broken at every λ, which marks an unrecoverable modality combination rather than an anchor failure. Heavier anchoring (λ = 0.1, 1.0) buys no further retention and costs both in-distribution gain and training stability, as the certainty head decalibrates into transient all-fail validation epochs whose onset moves earlier as λ grows. Table 3 reports the headline. Against the plain fine-tune, L2-SP λ = 0.01 improves median ED by 15.6 px (CI [−49.8, −2.4],</w:t>
      </w:r>
      <w:r>
        <w:t xml:space="preserve"> </w:t>
      </w:r>
      <w:r>
        <w:rPr>
          <w:i/>
          <w:iCs/>
        </w:rPr>
        <w:t xml:space="preserve">p</w:t>
      </w:r>
      <w:r>
        <w:t xml:space="preserve"> </w:t>
      </w:r>
      <w:r>
        <w:t xml:space="preserve">= 0.0046). Against zero-shot, the SR@20 deficit shrinks to −0.071 (CI [−0.214, +0.071],</w:t>
      </w:r>
      <w:r>
        <w:t xml:space="preserve"> </w:t>
      </w:r>
      <w:r>
        <w:rPr>
          <w:i/>
          <w:iCs/>
        </w:rPr>
        <w:t xml:space="preserve">p</w:t>
      </w:r>
      <w:r>
        <w:t xml:space="preserve"> </w:t>
      </w:r>
      <w:r>
        <w:t xml:space="preserve">= 0.91), so the regression is no longer statistically detectable. With only 28 test pairs this is a low-power null, and it should be read as</w:t>
      </w:r>
      <w:r>
        <w:t xml:space="preserve"> </w:t>
      </w:r>
      <w:r>
        <w:t xml:space="preserve">“not detectably worse”</w:t>
      </w:r>
      <w:r>
        <w:t xml:space="preserve"> </w:t>
      </w:r>
      <w:r>
        <w:t xml:space="preserve">rather than as proven equivalence; an equivalence test on a larger held-out set is planned. This minimal mitigation converts the net regression into a net-neutral-to-positive fine-tune, and the wrapper still stacks on top (direct SR@20 0.286 against pyramid 0.321). One caveat bounds the claim: one of the two held-out off-distribution C103 scenes stays unrecoverable at every λ, so forgetting is mitigated but not eliminated. We therefore treat L2-SP as a deliberately zero-cost lower bound on forgetting mitigation rather than a complete solution, and we expect stronger continual-learning methods such as experience replay, elastic weight consolidation [14], or LoRA-style low-rank updates [13] to improve on it; quantifying that is left to future work.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L2-SP weight anchoring removes the forgetting regression</w:t>
      </w:r>
      <w:r>
        <w:t xml:space="preserve"> </w:t>
      </w:r>
      <w:r>
        <w:t xml:space="preserve">(28-pair test split, TPS-refined ED, paired bootstrap</w:t>
      </w:r>
      <w:r>
        <w:t xml:space="preserve"> </w:t>
      </w:r>
      <w:r>
        <w:rPr>
          <w:i/>
          <w:iCs/>
        </w:rPr>
        <w:t xml:space="preserve">B</w:t>
      </w:r>
      <w:r>
        <w:t xml:space="preserve"> </w:t>
      </w:r>
      <w:r>
        <w:t xml:space="preserve">= 10,000).</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 (pyramid v2)</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0.036</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MatchAnything-RoMa (plain fine-tune)</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56.7</w:t>
            </w:r>
          </w:p>
        </w:tc>
      </w:tr>
      <w:tr>
        <w:tc>
          <w:tcPr/>
          <w:p>
            <w:pPr>
              <w:pStyle w:val="Compact"/>
            </w:pPr>
            <w:r>
              <w:rPr>
                <w:b/>
                <w:bCs/>
              </w:rPr>
              <w:t xml:space="preserve">MatchAnything-RoMa (L2-SP λ = 0.01)</w:t>
            </w:r>
          </w:p>
        </w:tc>
        <w:tc>
          <w:tcPr/>
          <w:p>
            <w:pPr>
              <w:pStyle w:val="Compact"/>
              <w:jc w:val="right"/>
            </w:pPr>
            <w:r>
              <w:t xml:space="preserve">0.036</w:t>
            </w:r>
          </w:p>
        </w:tc>
        <w:tc>
          <w:tcPr/>
          <w:p>
            <w:pPr>
              <w:pStyle w:val="Compact"/>
              <w:jc w:val="right"/>
            </w:pPr>
            <w:r>
              <w:t xml:space="preserve">0.214</w:t>
            </w:r>
          </w:p>
        </w:tc>
        <w:tc>
          <w:tcPr/>
          <w:p>
            <w:pPr>
              <w:pStyle w:val="Compact"/>
              <w:jc w:val="right"/>
            </w:pPr>
            <w:r>
              <w:rPr>
                <w:b/>
                <w:bCs/>
              </w:rPr>
              <w:t xml:space="preserve">0.321</w:t>
            </w:r>
          </w:p>
        </w:tc>
        <w:tc>
          <w:tcPr/>
          <w:p>
            <w:pPr>
              <w:pStyle w:val="Compact"/>
              <w:jc w:val="right"/>
            </w:pPr>
            <w:r>
              <w:rPr>
                <w:b/>
                <w:bCs/>
              </w:rPr>
              <w:t xml:space="preserve">41.0</w:t>
            </w:r>
          </w:p>
        </w:tc>
      </w:tr>
    </w:tbl>
    <w:bookmarkEnd w:id="17"/>
    <w:bookmarkStart w:id="18"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18"/>
    <w:bookmarkEnd w:id="19"/>
    <w:bookmarkStart w:id="20"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(5.2× on in-distribution TEM).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forgetting-robust decoder-only domain fine-tune when in-domain data exists; in our setup this is ~100M decoder parameters, AdamW for 1500 steps, about 90 min on a single RTX 5090, and a 445 MB checkpoint, with an L2-SP anchor at λ = 0.01 so that untrained modality combinations are not lost.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The headline fine-tuning and L2-SP numbers rest on single training runs and a 28-pair test split, with the SR@20 regression driven by four pairs, and the four near-threshold wrapper swaps point the same way. Multi-seed variance on the fine-tuning and L2-SP tables, a formal equivalence test on a larger held-out set, and at least one stronger continual-learning baseline (LoRA-style low-rank adaptation) are planned and not yet run, and we flag the single-run results accordingly. Finally, the fine-tuning study rests on 131 training pairs over 12 subclasses; L2-SP closes the forgetting half of the data-budget problem, but the unrecoverable C103 scene, broken at every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20"/>
    <w:bookmarkStart w:id="21"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forgetting-robust variant adds an L2-SP penalty [12] (λ/2)‖θ_dec − θ_dec⁰‖² anchoring the decoder to its zero-shot initialisation; λ ∈ {0, 0.01, 0.1, 1.0} is swept, with the step selected per run by validation median ED and λ by held-out test-split retention. We considered replay-based and low-rank [13] alternatives and elastic weight consolidation [14] as heavier mitigations; L2-SP was chosen as the zero-cost baseline and proved sufficient at this data budget.</w:t>
      </w:r>
    </w:p>
    <w:bookmarkEnd w:id="21"/>
    <w:bookmarkStart w:id="22"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all tables and figures regenerate from the released result files via the scripts referenced therein. Fine-tuned model checkpoints (445 MB) are available from the author on reasonable request.</w:t>
      </w:r>
    </w:p>
    <w:bookmarkEnd w:id="22"/>
    <w:bookmarkStart w:id="23"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23"/>
    <w:bookmarkStart w:id="24"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24"/>
    <w:bookmarkStart w:id="25"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25"/>
    <w:bookmarkStart w:id="26" w:name="competing-interests"/>
    <w:p>
      <w:pPr>
        <w:pStyle w:val="Heading2"/>
      </w:pPr>
      <w:r>
        <w:t xml:space="preserve">Competing interests</w:t>
      </w:r>
    </w:p>
    <w:p>
      <w:pPr>
        <w:pStyle w:val="FirstParagraph"/>
      </w:pPr>
      <w:r>
        <w:t xml:space="preserve">The author declares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p>
      <w:r>
        <w:pict>
          <v:rect style="width:0;height:1.5pt" o:hralign="center" o:hrstd="t" o:hr="t"/>
        </w:pict>
      </w:r>
    </w:p>
    <w:bookmarkEnd w:id="28"/>
    <w:bookmarkStart w:id="44" w:name="figures"/>
    <w:p>
      <w:pPr>
        <w:pStyle w:val="Heading2"/>
      </w:pPr>
      <w:r>
        <w:t xml:space="preserve">Figures</w:t>
      </w:r>
    </w:p>
    <w:p>
      <w:pPr>
        <w:pStyle w:val="CaptionedFigure"/>
      </w:pPr>
      <w:r>
        <w:drawing>
          <wp:inline>
            <wp:extent cx="5334000" cy="2217505"/>
            <wp:effectExtent b="0" l="0" r="0" t="0"/>
            <wp:docPr descr="Figure 1" title="" id="30" name="Picture"/>
            <a:graphic>
              <a:graphicData uri="http://schemas.openxmlformats.org/drawingml/2006/picture">
                <pic:pic>
                  <pic:nvPicPr>
                    <pic:cNvPr descr="figs/method_schematic.png" id="31" name="Picture"/>
                    <pic:cNvPicPr>
                      <a:picLocks noChangeArrowheads="1" noChangeAspect="1"/>
                    </pic:cNvPicPr>
                  </pic:nvPicPr>
                  <pic:blipFill>
                    <a:blip r:embed="rId29"/>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(a) Verified coarse-to-fine wrapper (pyramid v2); (b) FOV-ladder protocol.</w:t>
      </w:r>
    </w:p>
    <w:p>
      <w:pPr>
        <w:pStyle w:val="CaptionedFigure"/>
      </w:pPr>
      <w:r>
        <w:drawing>
          <wp:inline>
            <wp:extent cx="5334000" cy="2667000"/>
            <wp:effectExtent b="0" l="0" r="0" t="0"/>
            <wp:docPr descr="Figure 2" title="" id="33" name="Picture"/>
            <a:graphic>
              <a:graphicData uri="http://schemas.openxmlformats.org/drawingml/2006/picture">
                <pic:pic>
                  <pic:nvPicPr>
                    <pic:cNvPr descr="figs/sr_bar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w:t>
      </w:r>
    </w:p>
    <w:p>
      <w:pPr>
        <w:pStyle w:val="CaptionedFigure"/>
      </w:pPr>
      <w:r>
        <w:drawing>
          <wp:inline>
            <wp:extent cx="5334000" cy="2667000"/>
            <wp:effectExtent b="0" l="0" r="0" t="0"/>
            <wp:docPr descr="Figure 3" title="" id="36" name="Picture"/>
            <a:graphic>
              <a:graphicData uri="http://schemas.openxmlformats.org/drawingml/2006/picture">
                <pic:pic>
                  <pic:nvPicPr>
                    <pic:cNvPr descr="figs/group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w:t>
      </w:r>
    </w:p>
    <w:p>
      <w:pPr>
        <w:pStyle w:val="CaptionedFigure"/>
      </w:pPr>
      <w:r>
        <w:drawing>
          <wp:inline>
            <wp:extent cx="5334000" cy="3200400"/>
            <wp:effectExtent b="0" l="0" r="0" t="0"/>
            <wp:docPr descr="Figure 4" title="" id="39" name="Picture"/>
            <a:graphic>
              <a:graphicData uri="http://schemas.openxmlformats.org/drawingml/2006/picture">
                <pic:pic>
                  <pic:nvPicPr>
                    <pic:cNvPr descr="figs/fov_curve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Success rate versus FOV stratum on native pairs.</w:t>
      </w:r>
    </w:p>
    <w:p>
      <w:pPr>
        <w:pStyle w:val="CaptionedFigure"/>
      </w:pPr>
      <w:r>
        <w:drawing>
          <wp:inline>
            <wp:extent cx="5334000" cy="2182090"/>
            <wp:effectExtent b="0" l="0" r="0" t="0"/>
            <wp:docPr descr="Figure 5" title="" id="42" name="Picture"/>
            <a:graphic>
              <a:graphicData uri="http://schemas.openxmlformats.org/drawingml/2006/picture">
                <pic:pic>
                  <pic:nvPicPr>
                    <pic:cNvPr descr="figs/fov_ladder.png" id="43" name="Picture"/>
                    <pic:cNvPicPr>
                      <a:picLocks noChangeArrowheads="1" noChangeAspect="1"/>
                    </pic:cNvPicPr>
                  </pic:nvPicPr>
                  <pic:blipFill>
                    <a:blip r:embed="rId41"/>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Controlled FOV ladder with appearance fixed.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2026-06-21T00:27:14Z</dcterms:created>
  <dcterms:modified xsi:type="dcterms:W3CDTF">2026-06-21T00:27:14Z</dcterms:modified>
</cp:coreProperties>
</file>

<file path=docProps/custom.xml><?xml version="1.0" encoding="utf-8"?>
<Properties xmlns="http://schemas.openxmlformats.org/officeDocument/2006/custom-properties" xmlns:vt="http://schemas.openxmlformats.org/officeDocument/2006/docPropsVTypes"/>
</file>