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Multi-Scale Alignment of Correlative Materials Microscopy with Foundational Dense Matchers</w:t>
      </w:r>
    </w:p>
    <w:p>
      <w:r>
        <w:rPr>
          <w:b/>
        </w:rPr>
        <w:t>Abstract</w:t>
      </w:r>
    </w:p>
    <w:p>
      <w:pPr>
        <w:jc w:val="both"/>
      </w:pPr>
      <w:r>
        <w:t>Correlative materials microscopy pairs images of the same specimen across modalities (SEM, EBSD, TEM, optical) that share little visual appearance and often differ in field of view (FOV) by more than an order of magnitude, defeating classical feature-based registration. We asked whether a scale-aware pyramidal patching wrapper around pretrained dense matchers (RoMa, ELoFTR-family, MatchAnything) could lift cross-modal registration on AmalgaMatch (Durmaz et al.; 187 pairs, 19 subsets), particularly at severe FOV mismatch. Across a full controls-and-ablations pass we find: (1) a naive tiling pyramid catastrophically degrades dense matchers, because they never abstain — every tile returns thousands of confident matches that flood robust estimation (median error 76 → 1794 px); (2) a redesigned verified coarse-to-fine wrapper recovers a small but significant gain (SR@10 0.10 → 0.12, p = 0.017) without losing any pair, yet leaves success at FOV ≤ 5% at zero. The largest off-the-shelf lever was instead the backbone: swapping in cross-modal-trained MatchAnything-RoMa weights gave the only significant zero-shot-bar headline gain (SR@10 +0.032, p = 0.018), entirely among high-FOV pairs. This isolates the binding constraint: on AmalgaMatch, cross-modal appearance — not scale — is what fails. A controlled FOV-ladder experiment, which crops real base-matchable pairs to sweep FOV with appearance fixed, confirms both halves: the same wrapper triples success at 10% FOV (SR@10 0.07 → 0.23, p = 0.0014), so the scale mechanism is sound — the real distribution simply never isolates scale as the failure mode. Finally, we test the appearance lever directly: decoder-only fine-tuning of MatchAnything-RoMa on 131 held-out-split training pairs cuts median error on in-distribution TEM pairs 5.2× (321 → 62 px, the largest single movement in the study), but regresses overall SR@20 (0.393 → 0.250) by catastrophically forgetting a modality combination absent from training. Appearance is therefore attackable with domain data, but a 131-pair budget trades modality coverage for in-domain depth. We conclude that deployable cross-modal microscopy registration needs a forgetting-robust domain fine-tune over broad modality coverage, with the pyramid wrapper as a complementary — and provably effective — scale layer on top.</w:t>
      </w:r>
    </w:p>
    <w:p>
      <w:r>
        <w:rPr>
          <w:b/>
        </w:rPr>
        <w:t>Hypothesis verdicts</w:t>
      </w:r>
    </w:p>
    <w:p>
      <w:pPr>
        <w:pStyle w:val="ListBullet"/>
      </w:pPr>
      <w:r>
        <w:t xml:space="preserve">H1 (pyramid ≥ 35% gain at FOV ≤ 5%): </w:t>
      </w:r>
      <w:r>
        <w:rPr>
          <w:b/>
        </w:rPr>
        <w:t>rejected.</w:t>
      </w:r>
    </w:p>
    <w:p>
      <w:pPr>
        <w:pStyle w:val="ListBullet"/>
      </w:pPr>
      <w:r>
        <w:t xml:space="preserve">H2 (RoMa beats ELoFTR-family at low FOV): </w:t>
      </w:r>
      <w:r>
        <w:rPr>
          <w:b/>
        </w:rPr>
        <w:t>supported.</w:t>
      </w:r>
    </w:p>
    <w:p>
      <w:pPr>
        <w:pStyle w:val="ListBullet"/>
      </w:pPr>
      <w:r>
        <w:t xml:space="preserve">H3 (affine sufficient vs. homography): </w:t>
      </w:r>
      <w:r>
        <w:rPr>
          <w:b/>
        </w:rPr>
        <w:t>mostly supported (affine selected on 69% of well-registered pairs).</w:t>
      </w:r>
    </w:p>
    <w:p>
      <w:r>
        <w:rPr>
          <w:i/>
        </w:rPr>
        <w:t>Full methods, tables, and figures: reports/final_report.md. All numbers regenerable from results/ via the scripts referenced therein.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