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e691bb8d40d9da2219e593273003a83d0e50ce"/>
    <w:p>
      <w:pPr>
        <w:pStyle w:val="Heading1"/>
      </w:pPr>
      <w:r>
        <w:t xml:space="preserve">For foundation-model registration in correlative microscopy, cross-modal appearance matters more than field of view</w:t>
      </w:r>
    </w:p>
    <w:p>
      <w:pPr>
        <w:pStyle w:val="FirstParagraph"/>
      </w:pPr>
      <w:r>
        <w:rPr>
          <w:b/>
          <w:bCs/>
        </w:rPr>
        <w:t xml:space="preserve">Frank Cai</w:t>
      </w:r>
      <w:r>
        <w:t xml:space="preserve"> </w:t>
      </w:r>
      <w:r>
        <w:t xml:space="preserve">Independent Researcher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three seeds regressed SR@20 (0.393→0.30)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2667000"/>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Pyramid v1 collapses RoMa; pyramid v2 recovers a small significant gain without losing pairs; the MatchAnything-RoMa backbone provides the only significant headline gain over the zero-shot bar.</w:t>
      </w:r>
    </w:p>
    <w:p>
      <w:pPr>
        <w:pStyle w:val="CaptionedFigure"/>
      </w:pPr>
      <w:r>
        <w:drawing>
          <wp:inline>
            <wp:extent cx="5334000" cy="2667000"/>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5 shows the per-backbone FOV breakdown on the native (uncropped) pairs for comparison.</w:t>
      </w:r>
    </w:p>
    <w:p>
      <w:pPr>
        <w:pStyle w:val="CaptionedFigure"/>
      </w:pPr>
      <w:r>
        <w:drawing>
          <wp:inline>
            <wp:extent cx="5334000" cy="218209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3200400"/>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On the real distribution, low-FOV strata are simultaneously the most appearance-divergent, confounding scale and appearance; severe-FOV success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31"/>
    <w:bookmarkStart w:id="32"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three-seed direct analysis below and a matched three-seed replication under the pyramid deployment protocol (Table 3) both leave L2-SP and the plain fine-tune indistinguishable.</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(per-seed values in Table 4).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Re-training seeds 1–3 and evaluating both protocols on the same checkpoints (Table 3) shows the verified wrapper neither helps nor hurts the fine-tuned backbone on the real test split, with pyramid and direct SR@20 coinciding at 0.262 (plain) and 0.274 (L2-SP);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Verified wrapper on the fine-tuned backbone, three-seed replication</w:t>
      </w:r>
      <w:r>
        <w:t xml:space="preserve"> </w:t>
      </w:r>
      <w:r>
        <w:t xml:space="preserve">(seeds 1–3; 28-pair held-out test split; TPS-refined ED; zero-shot deterministic). These checkpoints were retrained for the pyramid evaluation because the original multi-seed checkpoints (Table 2) were not retained; decoder fine-tuning is not bit-reproducible at fixed seed on our stack (non-deterministic CUDA kernels, multi-worker data loading), so this independent draw lands at a higher direct SR@10 (0.250 vs the 0.095 ± 0.021 of Table 2) — run-to-run scatter exceeds seed-to-seed scatter at 28 pairs, itself part of the variance story. The controlled comparison is therefore</w:t>
      </w:r>
      <w:r>
        <w:t xml:space="preserve"> </w:t>
      </w:r>
      <w:r>
        <w:rPr>
          <w:i/>
          <w:iCs/>
        </w:rPr>
        <w:t xml:space="preserve">within</w:t>
      </w:r>
      <w:r>
        <w:t xml:space="preserve"> </w:t>
      </w:r>
      <w:r>
        <w:t xml:space="preserve">this table, where each direct/pyramid pair shares a checkpoint: the wrapper does not stack on the fine-tune (SR@20 unchanged at 0.262/0.274; median ED within ±2 px), and the seed-0 L2-SP pyramid advantage reported in earlier drafts (SR@20 0.321, median ED 41 px) does not replicate — across seeds 1–3 L2-SP and the plain fine-tune are indistinguishable (SR@20 0.274 ± 0.021 vs 0.262 ± 0.021). The anchor remains a zero-cost floor, not a reliable improvement, under the pyramid deployment protocol as well as the direct one.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(3-seed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0.262 ± 0.021</w:t>
            </w:r>
          </w:p>
        </w:tc>
        <w:tc>
          <w:tcPr/>
          <w:p>
            <w:pPr>
              <w:pStyle w:val="Compact"/>
              <w:jc w:val="right"/>
            </w:pPr>
            <w:r>
              <w:t xml:space="preserve">52.4 ± 5.2</w:t>
            </w:r>
          </w:p>
        </w:tc>
      </w:tr>
      <w:tr>
        <w:tc>
          <w:tcPr/>
          <w:p>
            <w:pPr>
              <w:pStyle w:val="Compact"/>
            </w:pPr>
          </w:p>
        </w:tc>
        <w:tc>
          <w:tcPr/>
          <w:p>
            <w:pPr>
              <w:pStyle w:val="Compact"/>
            </w:pPr>
            <w:r>
              <w:t xml:space="preserve">pyramid v2</w:t>
            </w:r>
          </w:p>
        </w:tc>
        <w:tc>
          <w:tcPr/>
          <w:p>
            <w:pPr>
              <w:pStyle w:val="Compact"/>
              <w:jc w:val="right"/>
            </w:pPr>
            <w:r>
              <w:t xml:space="preserve">0.226 ± 0.021</w:t>
            </w:r>
          </w:p>
        </w:tc>
        <w:tc>
          <w:tcPr/>
          <w:p>
            <w:pPr>
              <w:pStyle w:val="Compact"/>
              <w:jc w:val="right"/>
            </w:pPr>
            <w:r>
              <w:t xml:space="preserve">0.262 ± 0.021</w:t>
            </w:r>
          </w:p>
        </w:tc>
        <w:tc>
          <w:tcPr/>
          <w:p>
            <w:pPr>
              <w:pStyle w:val="Compact"/>
              <w:jc w:val="right"/>
            </w:pPr>
            <w:r>
              <w:t xml:space="preserve">49.6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48.1 ± 0.3</w:t>
            </w:r>
          </w:p>
        </w:tc>
      </w:tr>
      <w:tr>
        <w:tc>
          <w:tcPr/>
          <w:p>
            <w:pPr>
              <w:pStyle w:val="Compact"/>
            </w:pPr>
          </w:p>
        </w:tc>
        <w:tc>
          <w:tcPr/>
          <w:p>
            <w:pPr>
              <w:pStyle w:val="Compact"/>
            </w:pPr>
            <w:r>
              <w:t xml:space="preserve">pyramid v2</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50.9 ± 3.6</w:t>
            </w:r>
          </w:p>
        </w:tc>
      </w:tr>
    </w:tbl>
    <w:p>
      <w:pPr>
        <w:pStyle w:val="BodyText"/>
      </w:pPr>
      <w:r>
        <w:rPr>
          <w:b/>
          <w:bCs/>
        </w:rPr>
        <w:t xml:space="preserve">Table 4. Per-seed fine-tuning results</w:t>
      </w:r>
      <w:r>
        <w:t xml:space="preserve"> </w:t>
      </w:r>
      <w:r>
        <w:t xml:space="preserve">(direct match, 28-pair test split) underlying the mean ± SD in Table 2. With three seeds the SD is itself a coarse estimator, so we list the individual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bl>
    <w:p>
      <w:pPr>
        <w:pStyle w:val="BodyText"/>
      </w:pPr>
      <w:r>
        <w:t xml:space="preserve">SR@10 spans 0.071–0.107 and SR@20 0.250–0.321 for both configurations, with the two distributions overlapping rather than separating. Median ED is the only metric on which the configurations differ in central tendency (plain 41.6–48.9 vs. L2-SP 52.5–63.5 px), but the ranges abut and the effect does not reach the per-seed separation needed to call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three training seeds (Tables 2 and 3). Because the original multi-seed checkpoints were not retained, the pyramid-protocol replication retrained seeds 1–3 from scratch under the identical recipe; decoder fine-tuning is not bit-reproducible at fixed seed on our stack (non-deterministic CUDA kernels and multi-worker data loading), so this independent draw sits at a higher direct SR@10 than Table 2 (0.250 versus 0.095). That run-to-run scatter can exceed seed-to-seed scatter at 28 test pairs is itself a caution against over-reading any single-run SR number on this benchmark; the reliable comparison is the within-checkpoint one (direct versus pyramid in Table 3), which shows the recommended deployment configuration, the verified wrapper on the fine-tune, neither gains nor loses over direct matching across seeds.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2026-06-23T20:53:08Z</dcterms:created>
  <dcterms:modified xsi:type="dcterms:W3CDTF">2026-06-23T20:53:08Z</dcterms:modified>
</cp:coreProperties>
</file>

<file path=docProps/custom.xml><?xml version="1.0" encoding="utf-8"?>
<Properties xmlns="http://schemas.openxmlformats.org/officeDocument/2006/custom-properties" xmlns:vt="http://schemas.openxmlformats.org/officeDocument/2006/docPropsVTypes"/>
</file>