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80" w:before="0" w:line="240" w:lineRule="auto"/>
        <w:jc w:val="center"/>
      </w:pPr>
      <w:r>
        <w:rPr>
          <w:rFonts w:ascii="Times New Roman" w:hAnsi="Times New Roman"/>
          <w:sz w:val="32"/>
        </w:rPr>
        <w:t>Which Automatic Image Registrations Can a Microscopist Trust? A Label-Free Test on a Correlative Microscopy Benchmark</w:t>
      </w:r>
    </w:p>
    <w:p>
      <w:pPr>
        <w:spacing w:after="40" w:before="0" w:line="240" w:lineRule="auto"/>
        <w:jc w:val="center"/>
      </w:pPr>
      <w:r>
        <w:rPr>
          <w:rFonts w:ascii="Times New Roman" w:hAnsi="Times New Roman"/>
          <w:sz w:val="20"/>
        </w:rPr>
        <w:t>Frank Cai</w:t>
      </w:r>
    </w:p>
    <w:p>
      <w:pPr>
        <w:spacing w:after="40" w:before="0" w:line="240" w:lineRule="auto"/>
        <w:jc w:val="center"/>
      </w:pPr>
      <w:r>
        <w:rPr>
          <w:rFonts w:ascii="Times New Roman" w:hAnsi="Times New Roman"/>
          <w:i/>
          <w:sz w:val="20"/>
        </w:rPr>
        <w:t>Homestead High School, Fort Wayne, Indiana, USA</w:t>
      </w:r>
    </w:p>
    <w:p>
      <w:pPr>
        <w:spacing w:after="120" w:before="0" w:line="228" w:lineRule="auto"/>
        <w:jc w:val="both"/>
      </w:pPr>
      <w:r>
        <w:rPr>
          <w:rFonts w:ascii="Times New Roman" w:hAnsi="Times New Roman"/>
          <w:b/>
          <w:i/>
          <w:sz w:val="18"/>
        </w:rPr>
        <w:t>Abstract—</w:t>
      </w:r>
      <w:r>
        <w:rPr>
          <w:rFonts w:ascii="Times New Roman" w:hAnsi="Times New Roman"/>
          <w:sz w:val="18"/>
        </w:rPr>
        <w:t>Correlative microscopy combines images of the same specimen taken with different instruments, which first requires registering the images: finding the transformation that maps one onto the other. Foundation image matchers can do this automatically, but on the AmalgaMatch benchmark they succeed on only about a quarter of image pairs, and they give no warning when they fail. I tested whether scores that need no ground truth can tell which registrations to trust. Each of 187 image pairs was registered 15 ways, and three scores were compared: the fraction of proposed correspondences that survive the robust fit, the agreement between independent registrations, and their combination. The retained fraction separated successful from failed registrations (area under the receiver operating characteristic curve 0.85 for MatchAnything-RoMa, and 0.93 at the stricter 8-pixel criterion used in earlier work), and accepting only the highest-scoring quarter of pairs raised the share of correct registrations from 24 % to 57 %. A cut-off chosen on two task groups kept every correct registration in the other four groups but also admitted 42 % of the failures. Agreement between registrations predicted success less well than the retained fraction, and choosing one registration per pair did not beat the best single method. The hypotheses, statistics and pass criteria were published before any experiment was run.</w:t>
      </w:r>
    </w:p>
    <w:p>
      <w:pPr>
        <w:pStyle w:val="Heading1"/>
        <w:spacing w:after="40" w:before="0" w:line="240" w:lineRule="auto"/>
        <w:jc w:val="center"/>
      </w:pPr>
      <w:r>
        <w:rPr>
          <w:rFonts w:ascii="Times New Roman" w:hAnsi="Times New Roman"/>
          <w:sz w:val="20"/>
        </w:rPr>
        <w:t>INTRODUCTION</w:t>
      </w:r>
    </w:p>
    <w:p>
      <w:pPr>
        <w:spacing w:after="40" w:before="0" w:line="228" w:lineRule="auto"/>
        <w:ind w:firstLine="200"/>
        <w:jc w:val="both"/>
      </w:pPr>
      <w:r>
        <w:rPr>
          <w:rFonts w:ascii="Times New Roman" w:hAnsi="Times New Roman"/>
          <w:sz w:val="20"/>
        </w:rPr>
        <w:t>Correlative microscopy places images of the same region of a specimen, taken with different instruments, on one coordinate grid, so that every position carries several kinds of measurement at once, for example crystal orientation from electron backscatter diffraction (EBSD) and surface contrast from a scanning electron microscope (SEM) [1]. The first step is registration: finding the transformation that maps the narrower image into the wider one. Doing this by hand is slow, and foundation image matchers trained on millions of photographs, such as RoMa [3] and its cross-modally retrained version MatchAnything-RoMa [4], promise to automate it. On AmalgaMatch, a public benchmark of 187 correlative image pairs from materials science [1], [2], these matchers register only about one pair in four to within 20 pixels [5].</w:t>
      </w:r>
    </w:p>
    <w:p>
      <w:pPr>
        <w:spacing w:after="40" w:before="0" w:line="228" w:lineRule="auto"/>
        <w:ind w:firstLine="200"/>
        <w:jc w:val="both"/>
      </w:pPr>
      <w:r>
        <w:rPr>
          <w:rFonts w:ascii="Times New Roman" w:hAnsi="Times New Roman"/>
          <w:sz w:val="20"/>
        </w:rPr>
        <w:t>Failure alone would be manageable if the software reported it. It does not. A dense matcher returns 10,000 correspondences for every pair, whether or not the two images show the same place, and robust fitting always finds some that agree [5]. A researcher who runs automatic registration on a new batch of images therefore cannot tell which results to keep.</w:t>
      </w:r>
    </w:p>
    <w:p>
      <w:pPr>
        <w:spacing w:after="40" w:before="0" w:line="228" w:lineRule="auto"/>
        <w:ind w:firstLine="200"/>
        <w:jc w:val="both"/>
      </w:pPr>
      <w:r>
        <w:rPr>
          <w:rFonts w:ascii="Times New Roman" w:hAnsi="Times New Roman"/>
          <w:sz w:val="20"/>
        </w:rPr>
        <w:t xml:space="preserve">Durmaz et al. [2] found that the fraction of correspondences surviving the robust fit separated good from bad registrations on 48 pairs from four subsets of the benchmark, and proposed, without testing it, using this fraction to pick the best registration and to send doubtful ones to a human. This paper tests that proposal on the whole benchmark. </w:t>
      </w:r>
      <w:r>
        <w:rPr>
          <w:rFonts w:ascii="Times New Roman" w:hAnsi="Times New Roman"/>
          <w:b/>
          <w:sz w:val="20"/>
        </w:rPr>
        <w:t>H1:</w:t>
      </w:r>
      <w:r>
        <w:rPr>
          <w:rFonts w:ascii="Times New Roman" w:hAnsi="Times New Roman"/>
          <w:sz w:val="20"/>
        </w:rPr>
        <w:t xml:space="preserve"> the retained fraction predicts success on all pairs, and a cut-off chosen on the kinds of pairs Durmaz et al. studied still works on the other kinds. </w:t>
      </w:r>
      <w:r>
        <w:rPr>
          <w:rFonts w:ascii="Times New Roman" w:hAnsi="Times New Roman"/>
          <w:b/>
          <w:sz w:val="20"/>
        </w:rPr>
        <w:t>H2:</w:t>
      </w:r>
      <w:r>
        <w:rPr>
          <w:rFonts w:ascii="Times New Roman" w:hAnsi="Times New Roman"/>
          <w:sz w:val="20"/>
        </w:rPr>
        <w:t xml:space="preserve"> agreement among several independent registrations of the same pair predicts success better. </w:t>
      </w:r>
      <w:r>
        <w:rPr>
          <w:rFonts w:ascii="Times New Roman" w:hAnsi="Times New Roman"/>
          <w:b/>
          <w:sz w:val="20"/>
        </w:rPr>
        <w:t>H3:</w:t>
      </w:r>
      <w:r>
        <w:rPr>
          <w:rFonts w:ascii="Times New Roman" w:hAnsi="Times New Roman"/>
          <w:sz w:val="20"/>
        </w:rPr>
        <w:t xml:space="preserve"> choosing one registration per pair with these scores registers more pairs than the best single method. The hypotheses, the statistics and their pass criteria were committed to a public repository before any experiment was run [6].</w:t>
      </w:r>
    </w:p>
    <w:p>
      <w:pPr>
        <w:pStyle w:val="Heading1"/>
        <w:spacing w:after="40" w:before="0" w:line="240" w:lineRule="auto"/>
        <w:jc w:val="center"/>
      </w:pPr>
      <w:r>
        <w:rPr>
          <w:rFonts w:ascii="Times New Roman" w:hAnsi="Times New Roman"/>
          <w:sz w:val="20"/>
        </w:rPr>
        <w:t>METHODS</w:t>
      </w:r>
    </w:p>
    <w:p>
      <w:pPr>
        <w:spacing w:after="40" w:before="0" w:line="228" w:lineRule="auto"/>
        <w:ind w:firstLine="200"/>
        <w:jc w:val="both"/>
      </w:pPr>
      <w:r>
        <w:rPr>
          <w:rFonts w:ascii="Times New Roman" w:hAnsi="Times New Roman"/>
          <w:i/>
          <w:sz w:val="20"/>
        </w:rPr>
        <w:t>Data.</w:t>
      </w:r>
      <w:r>
        <w:rPr>
          <w:rFonts w:ascii="Times New Roman" w:hAnsi="Times New Roman"/>
          <w:sz w:val="20"/>
        </w:rPr>
        <w:t xml:space="preserve"> AmalgaMatch [1] contains 187 image pairs from 35 scenes, 19 material and instrument combinations, and six task groups (for example serial sectioning, fracture surfaces and dislocation imaging in the transmission electron microscope). Every pair has hand-annotated corresponding points, which are used only to score results, never to produce them. The data are released under a CC BY 4.0 licence.</w:t>
      </w:r>
    </w:p>
    <w:p>
      <w:pPr>
        <w:spacing w:after="40" w:before="0" w:line="228" w:lineRule="auto"/>
        <w:ind w:firstLine="200"/>
        <w:jc w:val="both"/>
      </w:pPr>
      <w:r>
        <w:rPr>
          <w:rFonts w:ascii="Times New Roman" w:hAnsi="Times New Roman"/>
          <w:i/>
          <w:sz w:val="20"/>
        </w:rPr>
        <w:t>Candidate registrations.</w:t>
      </w:r>
      <w:r>
        <w:rPr>
          <w:rFonts w:ascii="Times New Roman" w:hAnsi="Times New Roman"/>
          <w:sz w:val="20"/>
        </w:rPr>
        <w:t xml:space="preserve"> Each pair was registered 15 ways, which form the voting pool. Five matchers were applied to the whole images: the classical SIFT [7], LoFTR [8], RoMa [3], and the MatchAnything versions of RoMa and of Efficient LoFTR [4]. RoMa and MatchAnything-RoMa were also run inside a coarse-to-fine search that zooms into the wide image [5]. Finally, RoMa and MatchAnything-RoMa were run on four label-free transformations of the images: the narrow image with inverted contrast, the narrow image with its brightness histogram matched to the wide image, both images after contrast-limited adaptive histogram equalization, and both images replaced by their gradient magnitude. As a control, RoMa and MatchAnything-RoMa were rerun with five further random seeds; these ten runs never vote. Every set of correspondences was fitted with MAGSAC++ [9] at a 5.5-pixel threshold to an affine transformation or a homography, following the benchmark protocol [1].</w:t>
      </w:r>
    </w:p>
    <w:p>
      <w:pPr>
        <w:spacing w:after="40" w:before="0" w:line="228" w:lineRule="auto"/>
        <w:ind w:firstLine="200"/>
        <w:jc w:val="both"/>
      </w:pPr>
      <w:r>
        <w:rPr>
          <w:rFonts w:ascii="Times New Roman" w:hAnsi="Times New Roman"/>
          <w:i/>
          <w:sz w:val="20"/>
        </w:rPr>
        <w:t>Label-free scores.</w:t>
      </w:r>
      <w:r>
        <w:rPr>
          <w:rFonts w:ascii="Times New Roman" w:hAnsi="Times New Roman"/>
          <w:sz w:val="20"/>
        </w:rPr>
        <w:t xml:space="preserve"> Three scores were computed without any annotated points. </w:t>
      </w:r>
      <w:r>
        <w:rPr>
          <w:rFonts w:ascii="Times New Roman" w:hAnsi="Times New Roman"/>
          <w:b/>
          <w:sz w:val="20"/>
        </w:rPr>
        <w:t>S1</w:t>
      </w:r>
      <w:r>
        <w:rPr>
          <w:rFonts w:ascii="Times New Roman" w:hAnsi="Times New Roman"/>
          <w:sz w:val="20"/>
        </w:rPr>
        <w:t xml:space="preserve">, the retained fraction [2], is the number of correspondences kept by the robust fit divided by the number proposed. </w:t>
      </w:r>
      <w:r>
        <w:rPr>
          <w:rFonts w:ascii="Times New Roman" w:hAnsi="Times New Roman"/>
          <w:b/>
          <w:sz w:val="20"/>
        </w:rPr>
        <w:t>S2</w:t>
      </w:r>
      <w:r>
        <w:rPr>
          <w:rFonts w:ascii="Times New Roman" w:hAnsi="Times New Roman"/>
          <w:sz w:val="20"/>
        </w:rPr>
        <w:t xml:space="preserve">, agreement, compares a candidate with the other members of the voting pool: for each other candidate, the two transformations are applied to a 5 × 5 grid of points spanning the narrow image and the mean distance between the two mapped grids is taken; S2 is minus the median of these distances, so a candidate that lands where most others land scores high. </w:t>
      </w:r>
      <w:r>
        <w:rPr>
          <w:rFonts w:ascii="Times New Roman" w:hAnsi="Times New Roman"/>
          <w:b/>
          <w:sz w:val="20"/>
        </w:rPr>
        <w:t>S3</w:t>
      </w:r>
      <w:r>
        <w:rPr>
          <w:rFonts w:ascii="Times New Roman" w:hAnsi="Times New Roman"/>
          <w:sz w:val="20"/>
        </w:rPr>
        <w:t xml:space="preserve"> averages the percentile ranks of S1 and S2.</w:t>
      </w:r>
    </w:p>
    <w:p>
      <w:pPr>
        <w:spacing w:after="40" w:before="0" w:line="228" w:lineRule="auto"/>
        <w:ind w:firstLine="200"/>
        <w:jc w:val="both"/>
      </w:pPr>
      <w:r>
        <w:rPr>
          <w:rFonts w:ascii="Times New Roman" w:hAnsi="Times New Roman"/>
          <w:i/>
          <w:sz w:val="20"/>
        </w:rPr>
        <w:t>Evaluation.</w:t>
      </w:r>
      <w:r>
        <w:rPr>
          <w:rFonts w:ascii="Times New Roman" w:hAnsi="Times New Roman"/>
          <w:sz w:val="20"/>
        </w:rPr>
        <w:t xml:space="preserve"> A registration's error is the mean distance, in pixels of the wide image, between where it maps the annotated points and where they truly lie, with no refinement step. A registration succeeds if this error is at most 20 pixels. The best any single global transformation can do is measured by fitting a homography to each pair's own annotated points. How well a score separates successes from failures is measured by the area under the receiver operating characteristic curve (AUROC), the probability that a randomly chosen success scores higher than a randomly chosen failure; 0.5 is chance and 1 is perfect. Because pairs from the same scene share images, 95 % confidence intervals come from resampling whole scenes with replacement 10,000 times. Paired differences in success are tested with the exact McNemar test [10]. For the transfer test, a cut-off on S1 was chosen by Youden's index [11] on the two task groups Durmaz et al. studied (same-slice and serial sectioning) and applied unchanged to the other four. For triage, pairs are ranked by score and the highest-scoring ones accepted.</w:t>
      </w:r>
    </w:p>
    <w:p>
      <w:pPr>
        <w:pStyle w:val="Heading1"/>
        <w:spacing w:after="40" w:before="0" w:line="240" w:lineRule="auto"/>
        <w:jc w:val="center"/>
      </w:pPr>
      <w:r>
        <w:rPr>
          <w:rFonts w:ascii="Times New Roman" w:hAnsi="Times New Roman"/>
          <w:sz w:val="20"/>
        </w:rPr>
        <w:t>RESULTS</w:t>
      </w:r>
    </w:p>
    <w:p>
      <w:pPr>
        <w:spacing w:after="40" w:before="0" w:line="228" w:lineRule="auto"/>
        <w:ind w:firstLine="200"/>
        <w:jc w:val="both"/>
      </w:pPr>
      <w:r>
        <w:rPr>
          <w:rFonts w:ascii="Times New Roman" w:hAnsi="Times New Roman"/>
          <w:i/>
          <w:sz w:val="20"/>
        </w:rPr>
        <w:t>The retained fraction flags failures (H1).</w:t>
      </w:r>
      <w:r>
        <w:rPr>
          <w:rFonts w:ascii="Times New Roman" w:hAnsi="Times New Roman"/>
          <w:sz w:val="20"/>
        </w:rPr>
        <w:t xml:space="preserve"> MatchAnything-RoMa registered 44 of the 187 pairs to within 20 pixels; a homography fitted to the annotated points could have registered 156. Its retained fraction separated the successes from the failures with an AUROC of 0.85 (95 % confidence interval 0.72 to 0.98), meeting the pre-registered bar of 0.80, and 0.93 at the 8-pixel criterion of Durmaz et al., who reported 0.905 on 48 pairs [2]. For RoMa the AUROC was 0.94. Within each of the 4 task groups that had both successes and failures, the AUROC ranged from 0.81 to 1.00 (exploratory; Fig. 2); none of the 31 slip-partitioning pairs was registered and all 6 fracture-surface pairs were.</w:t>
      </w:r>
    </w:p>
    <w:p>
      <w:pPr>
        <w:spacing w:after="40" w:before="0" w:line="228" w:lineRule="auto"/>
        <w:ind w:firstLine="200"/>
        <w:jc w:val="both"/>
      </w:pPr>
      <w:r>
        <w:rPr>
          <w:rFonts w:ascii="Times New Roman" w:hAnsi="Times New Roman"/>
          <w:sz w:val="20"/>
        </w:rPr>
        <w:t>The transfer test was mixed. The cut-off chosen on the 68 same-slice and serial-sectioning pairs, a retained fraction of 0.171, was applied unchanged to the 119 pairs of the other four groups. It accepted 61 of them and kept every correct registration (recall 100 %), and the share of accepted registrations that were correct was 31 % against 16 % for all of them (difference 15 percentage points, confidence interval 4 to 76), which passes the pre-registered test. But the cut-off also accepted 42 % of the failures in the new groups, and 42 of these 42 false accepts were dislocation images from the transmission electron microscope (42 of that group's 61 failures; exploratory). On these pairs the fit kept a large share of the correspondences while placing the image hundreds of pixels away (Fig. 2), possibly because, as Durmaz et al. note, dislocations visible under one diffraction condition can be invisible under the other, which leaves the two images few features in common [2]. A cut-off fitted on other kinds of pairs is therefore too lenient for this kind, even though the ranking holds within it.</w:t>
      </w:r>
    </w:p>
    <w:p>
      <w:pPr>
        <w:spacing w:after="40" w:before="0" w:line="228" w:lineRule="auto"/>
        <w:ind w:firstLine="200"/>
        <w:jc w:val="both"/>
      </w:pPr>
      <w:r>
        <w:rPr>
          <w:rFonts w:ascii="Times New Roman" w:hAnsi="Times New Roman"/>
          <w:i/>
          <w:sz w:val="20"/>
        </w:rPr>
        <w:t>Triage.</w:t>
      </w:r>
      <w:r>
        <w:rPr>
          <w:rFonts w:ascii="Times New Roman" w:hAnsi="Times New Roman"/>
          <w:sz w:val="20"/>
        </w:rPr>
        <w:t xml:space="preserve"> Ranking all pairs by the retained fraction and accepting only the top quarter raised the share of correct registrations from 24 % to 57 % (confidence interval 33 % to 97 %); accepting the top half gave 41 % (Fig. 3a). A researcher who checks registrations from the lowest-scoring upward therefore finds most of the failures first.</w:t>
      </w:r>
    </w:p>
    <w:p>
      <w:pPr>
        <w:spacing w:after="40" w:before="0" w:line="228" w:lineRule="auto"/>
        <w:ind w:firstLine="200"/>
        <w:jc w:val="both"/>
      </w:pPr>
      <w:r>
        <w:rPr>
          <w:rFonts w:ascii="Times New Roman" w:hAnsi="Times New Roman"/>
          <w:i/>
          <w:sz w:val="20"/>
        </w:rPr>
        <w:t>Agreement did not help (H2).</w:t>
      </w:r>
      <w:r>
        <w:rPr>
          <w:rFonts w:ascii="Times New Roman" w:hAnsi="Times New Roman"/>
          <w:sz w:val="20"/>
        </w:rPr>
        <w:t xml:space="preserve"> Agreement between registrations predicted MatchAnything-RoMa's success less well than the retained fraction (AUROC 0.72; difference from the retained fraction −0.07 over all candidates, confidence interval −0.15 to −0.01), and the combined score did not improve on it either (pooled difference −0.01, interval −0.06 to +0.02). H2 is not supported. One reason is that the methods tend to fail together. On 107 pairs not one of the 15 registrations succeeded, and of the 62 pairs on which at least half of the registrations agreed to within 20 pixels, 31 had no correct registration at all (exploratory).</w:t>
      </w:r>
    </w:p>
    <w:p>
      <w:pPr>
        <w:spacing w:after="40" w:before="0" w:line="228" w:lineRule="auto"/>
        <w:ind w:firstLine="200"/>
        <w:jc w:val="both"/>
      </w:pPr>
      <w:r>
        <w:rPr>
          <w:rFonts w:ascii="Times New Roman" w:hAnsi="Times New Roman"/>
          <w:i/>
          <w:sz w:val="20"/>
        </w:rPr>
        <w:t>Choosing per pair did not beat the best single method (H3).</w:t>
      </w:r>
      <w:r>
        <w:rPr>
          <w:rFonts w:ascii="Times New Roman" w:hAnsi="Times New Roman"/>
          <w:sz w:val="20"/>
        </w:rPr>
        <w:t xml:space="preserve"> The best single method, MatchAnything-RoMa inside the zoom search, registered 47 pairs. Choosing per pair by the retained fraction registered 42 (6 pairs won, 11 lost, McNemar </w:t>
      </w:r>
      <w:r>
        <w:rPr>
          <w:rFonts w:ascii="Times New Roman" w:hAnsi="Times New Roman"/>
          <w:i/>
          <w:sz w:val="20"/>
        </w:rPr>
        <w:t>p</w:t>
      </w:r>
      <w:r>
        <w:rPr>
          <w:rFonts w:ascii="Times New Roman" w:hAnsi="Times New Roman"/>
          <w:sz w:val="20"/>
        </w:rPr>
        <w:t xml:space="preserve"> = 0.332), by agreement 40, and by the combined score 47 (Fig. 3b). H3 is not supported, although an oracle that always picked a correct registration when one existed would have registered 80.</w:t>
      </w:r>
    </w:p>
    <w:p>
      <w:pPr>
        <w:spacing w:after="40" w:before="0" w:line="228" w:lineRule="auto"/>
        <w:ind w:firstLine="200"/>
        <w:jc w:val="both"/>
      </w:pPr>
      <w:r>
        <w:rPr>
          <w:rFonts w:ascii="Times New Roman" w:hAnsi="Times New Roman"/>
          <w:sz w:val="20"/>
        </w:rPr>
        <w:t xml:space="preserve">Two exploratory analyses, decided after these results and therefore only suggestive, point to why. First, the retained fraction is not comparable across matchers: SIFT proposes far fewer correspondences (median 99, against a fixed 10,000 for the RoMa family), and a fit to few points keeps a larger share of them (median retained fraction 0.31 against 0.13). Choosing by the retained fraction picked SIFT on 79 pairs, and 9 of the 11 pairs it lost were SIFT picks. Within a single pair, the fraction usually does prefer a correct registration over a failed one (median within-pair AUROC 0.86 over the 77 pairs that had both). Choosing only among the 12 registrations from the RoMa family registered 56 pairs (14 won, 5 lost, </w:t>
      </w:r>
      <w:r>
        <w:rPr>
          <w:rFonts w:ascii="Times New Roman" w:hAnsi="Times New Roman"/>
          <w:i/>
          <w:sz w:val="20"/>
        </w:rPr>
        <w:t>p</w:t>
      </w:r>
      <w:r>
        <w:rPr>
          <w:rFonts w:ascii="Times New Roman" w:hAnsi="Times New Roman"/>
          <w:sz w:val="20"/>
        </w:rPr>
        <w:t xml:space="preserve"> = 0.06), which needs its own pre-registered test. Second, much of the oracle's advantage is fragile: of the 33 pairs only the oracle registered, 16 were registered by at most two of the 15 methods, and on 16 pairs MatchAnything-RoMa itself succeeded in some of six reruns and failed in others.</w:t>
      </w:r>
    </w:p>
    <w:p>
      <w:pPr>
        <w:pStyle w:val="Heading1"/>
        <w:spacing w:after="40" w:before="0" w:line="240" w:lineRule="auto"/>
        <w:jc w:val="center"/>
      </w:pPr>
      <w:r>
        <w:rPr>
          <w:rFonts w:ascii="Times New Roman" w:hAnsi="Times New Roman"/>
          <w:sz w:val="20"/>
        </w:rPr>
        <w:t>DISCUSSION</w:t>
      </w:r>
    </w:p>
    <w:p>
      <w:pPr>
        <w:spacing w:after="40" w:before="0" w:line="228" w:lineRule="auto"/>
        <w:ind w:firstLine="200"/>
        <w:jc w:val="both"/>
      </w:pPr>
      <w:r>
        <w:rPr>
          <w:rFonts w:ascii="Times New Roman" w:hAnsi="Times New Roman"/>
          <w:sz w:val="20"/>
        </w:rPr>
        <w:t>Every registration pipeline that uses robust fitting already computes the retained fraction, so this triage costs nothing. On the full benchmark it separates good from bad registrations about as well as Durmaz et al. found on four subsets [2], in every task group where this could be tested, and ranking a batch by it puts most failures at the bottom of the list. Three cautions follow from the negative results. A fixed cut-off learned on one kind of image pair can admit many failures on another, as it did for transmission electron microscope images, so the fraction is better used to rank a batch, or with a cut-off set for each kind of image, than as a universal threshold. It should not be compared across matchers that propose very different numbers of correspondences. And agreement among several registrations is not a check on correctness when the methods tend to fail together.</w:t>
      </w:r>
    </w:p>
    <w:p>
      <w:pPr>
        <w:spacing w:after="40" w:before="0" w:line="228" w:lineRule="auto"/>
        <w:ind w:firstLine="200"/>
        <w:jc w:val="both"/>
      </w:pPr>
      <w:r>
        <w:rPr>
          <w:rFonts w:ascii="Times New Roman" w:hAnsi="Times New Roman"/>
          <w:sz w:val="20"/>
        </w:rPr>
        <w:t>The study has limits. It uses one benchmark, whose 35 scenes make the confidence intervals wide. Each registration was run once, and the reruns show that random sampling alone moves a few pairs across the 20-pixel line. The 20-pixel criterion is a choice; results at 8 pixels are given for comparison with earlier work. The input transformations were chosen for simplicity, not tuned.</w:t>
      </w:r>
    </w:p>
    <w:p>
      <w:pPr>
        <w:spacing w:after="40" w:before="0" w:line="228" w:lineRule="auto"/>
        <w:ind w:firstLine="200"/>
        <w:jc w:val="both"/>
      </w:pPr>
      <w:r>
        <w:rPr>
          <w:rFonts w:ascii="Times New Roman" w:hAnsi="Times New Roman"/>
          <w:sz w:val="20"/>
        </w:rPr>
        <w:t>For materials scientists using automatic registration, the practical message is simple: keep the retained fraction, sort by it, and check the lowest-scoring registrations first.</w:t>
      </w:r>
    </w:p>
    <w:p>
      <w:pPr>
        <w:pStyle w:val="Heading1"/>
        <w:spacing w:after="40" w:before="0" w:line="240" w:lineRule="auto"/>
        <w:jc w:val="center"/>
      </w:pPr>
      <w:r>
        <w:rPr>
          <w:rFonts w:ascii="Times New Roman" w:hAnsi="Times New Roman"/>
          <w:sz w:val="20"/>
        </w:rPr>
        <w:t>ACKNOWLEDGMENT</w:t>
      </w:r>
    </w:p>
    <w:p>
      <w:pPr>
        <w:spacing w:after="40" w:before="0" w:line="228" w:lineRule="auto"/>
        <w:ind w:firstLine="200"/>
        <w:jc w:val="both"/>
      </w:pPr>
      <w:r>
        <w:rPr>
          <w:rFonts w:ascii="Times New Roman" w:hAnsi="Times New Roman"/>
          <w:sz w:val="20"/>
        </w:rPr>
        <w:t>The benchmark images and annotations are the work of Durmaz et al. [1] and are used under CC BY 4.0. The author used Claude (Anthropic), an AI assistant, to search the literature, to help design the experiment, to write the analysis and plotting code, and to draft and edit the text; the author chose the research question, reviewed the design, code and results, revised the manuscript, and takes responsibility for its content. Code and results: github.com/fronkt/correlative-microscopy-alignment, branch cjsj-tta.</w:t>
      </w:r>
    </w:p>
    <w:p>
      <w:pPr>
        <w:pStyle w:val="Heading1"/>
        <w:spacing w:after="40" w:before="0" w:line="240" w:lineRule="auto"/>
        <w:jc w:val="center"/>
      </w:pPr>
      <w:r>
        <w:rPr>
          <w:rFonts w:ascii="Times New Roman" w:hAnsi="Times New Roman"/>
          <w:sz w:val="20"/>
        </w:rPr>
        <w:t>References</w:t>
      </w:r>
    </w:p>
    <w:p>
      <w:pPr>
        <w:spacing w:after="20" w:before="0" w:line="240" w:lineRule="auto"/>
        <w:jc w:val="left"/>
      </w:pPr>
      <w:r>
        <w:rPr>
          <w:rFonts w:ascii="Times New Roman" w:hAnsi="Times New Roman"/>
          <w:sz w:val="16"/>
        </w:rPr>
        <w:t xml:space="preserve">[1] A. R. Durmaz, J. D. Lamb, K. Zaripova, M. Vailhe, J. T. Pürstl, J. Schulte, M. Ackermann, M. P. Echlin, and T. M. Pollock, "A correlative microscopy dataset for multimodal data fusion and image matching in materials science," </w:t>
      </w:r>
      <w:r>
        <w:rPr>
          <w:rFonts w:ascii="Times New Roman" w:hAnsi="Times New Roman"/>
          <w:i/>
          <w:sz w:val="16"/>
        </w:rPr>
        <w:t>Scientific Data</w:t>
      </w:r>
      <w:r>
        <w:rPr>
          <w:rFonts w:ascii="Times New Roman" w:hAnsi="Times New Roman"/>
          <w:sz w:val="16"/>
        </w:rPr>
        <w:t>, 2026, doi:10.1038/s41597-026-07961-2. Dataset: doi:10.24406/fordatis/436.</w:t>
      </w:r>
    </w:p>
    <w:p>
      <w:pPr>
        <w:spacing w:after="20" w:before="0" w:line="240" w:lineRule="auto"/>
        <w:jc w:val="left"/>
      </w:pPr>
      <w:r>
        <w:rPr>
          <w:rFonts w:ascii="Times New Roman" w:hAnsi="Times New Roman"/>
          <w:sz w:val="16"/>
        </w:rPr>
        <w:t xml:space="preserve">[2] A. R. Durmaz, J. D. Lamb, M. P. Echlin, and T. M. Pollock, "Foundation models for multimodal image data fusion in materials science," </w:t>
      </w:r>
      <w:r>
        <w:rPr>
          <w:rFonts w:ascii="Times New Roman" w:hAnsi="Times New Roman"/>
          <w:i/>
          <w:sz w:val="16"/>
        </w:rPr>
        <w:t>Frontiers in Materials</w:t>
      </w:r>
      <w:r>
        <w:rPr>
          <w:rFonts w:ascii="Times New Roman" w:hAnsi="Times New Roman"/>
          <w:sz w:val="16"/>
        </w:rPr>
        <w:t>, vol. 13, art. 1815017, 2026, doi:10.3389/fmats.2026.1815017.</w:t>
      </w:r>
    </w:p>
    <w:p>
      <w:pPr>
        <w:spacing w:after="20" w:before="0" w:line="240" w:lineRule="auto"/>
        <w:jc w:val="left"/>
      </w:pPr>
      <w:r>
        <w:rPr>
          <w:rFonts w:ascii="Times New Roman" w:hAnsi="Times New Roman"/>
          <w:sz w:val="16"/>
        </w:rPr>
        <w:t xml:space="preserve">[3] J. Edstedt, Q. Sun, G. Bökman, M. Wadenbäck, and M. Felsberg, "RoMa: Robust dense feature matching," in </w:t>
      </w:r>
      <w:r>
        <w:rPr>
          <w:rFonts w:ascii="Times New Roman" w:hAnsi="Times New Roman"/>
          <w:i/>
          <w:sz w:val="16"/>
        </w:rPr>
        <w:t>Proc. IEEE/CVF Conf. Computer Vision and Pattern Recognition (CVPR)</w:t>
      </w:r>
      <w:r>
        <w:rPr>
          <w:rFonts w:ascii="Times New Roman" w:hAnsi="Times New Roman"/>
          <w:sz w:val="16"/>
        </w:rPr>
        <w:t>, 2024, pp. 19790–19800.</w:t>
      </w:r>
    </w:p>
    <w:p>
      <w:pPr>
        <w:spacing w:after="20" w:before="0" w:line="240" w:lineRule="auto"/>
        <w:jc w:val="left"/>
      </w:pPr>
      <w:r>
        <w:rPr>
          <w:rFonts w:ascii="Times New Roman" w:hAnsi="Times New Roman"/>
          <w:sz w:val="16"/>
        </w:rPr>
        <w:t>[4] X. He, H. Yu, S. Peng, D. Dong, D. Tan, X. Zhou, H. Bao, and Z. Shen, "MatchAnything: Universal cross-modality image matching with large-scale pre-training," arXiv:2501.07556, 2025.</w:t>
      </w:r>
    </w:p>
    <w:p>
      <w:pPr>
        <w:spacing w:after="20" w:before="0" w:line="240" w:lineRule="auto"/>
        <w:jc w:val="left"/>
      </w:pPr>
      <w:r>
        <w:rPr>
          <w:rFonts w:ascii="Times New Roman" w:hAnsi="Times New Roman"/>
          <w:sz w:val="16"/>
        </w:rPr>
        <w:t>[5] F. Cai, "For foundation-model registration in correlative microscopy, cross-modal appearance matters more than field of view," Research Square preprint, 2026, doi:10.21203/rs.3.rs-10311464/v1.</w:t>
      </w:r>
    </w:p>
    <w:p>
      <w:pPr>
        <w:spacing w:after="20" w:before="0" w:line="240" w:lineRule="auto"/>
        <w:jc w:val="left"/>
      </w:pPr>
      <w:r>
        <w:rPr>
          <w:rFonts w:ascii="Times New Roman" w:hAnsi="Times New Roman"/>
          <w:sz w:val="16"/>
        </w:rPr>
        <w:t>[6] F. Cai, pre-registration of this study, commit 60c04bf, github.com/fronkt/correlative-microscopy-alignment (branch cjsj-tta), 27 Sep. 2026.</w:t>
      </w:r>
    </w:p>
    <w:p>
      <w:pPr>
        <w:spacing w:after="20" w:before="0" w:line="240" w:lineRule="auto"/>
        <w:jc w:val="left"/>
      </w:pPr>
      <w:r>
        <w:rPr>
          <w:rFonts w:ascii="Times New Roman" w:hAnsi="Times New Roman"/>
          <w:sz w:val="16"/>
        </w:rPr>
        <w:t xml:space="preserve">[7] D. G. Lowe, "Distinctive image features from scale-invariant keypoints," </w:t>
      </w:r>
      <w:r>
        <w:rPr>
          <w:rFonts w:ascii="Times New Roman" w:hAnsi="Times New Roman"/>
          <w:i/>
          <w:sz w:val="16"/>
        </w:rPr>
        <w:t>Int. J. Computer Vision</w:t>
      </w:r>
      <w:r>
        <w:rPr>
          <w:rFonts w:ascii="Times New Roman" w:hAnsi="Times New Roman"/>
          <w:sz w:val="16"/>
        </w:rPr>
        <w:t>, vol. 60, pp. 91–110, 2004.</w:t>
      </w:r>
    </w:p>
    <w:p>
      <w:pPr>
        <w:spacing w:after="20" w:before="0" w:line="240" w:lineRule="auto"/>
        <w:jc w:val="left"/>
      </w:pPr>
      <w:r>
        <w:rPr>
          <w:rFonts w:ascii="Times New Roman" w:hAnsi="Times New Roman"/>
          <w:sz w:val="16"/>
        </w:rPr>
        <w:t xml:space="preserve">[8] J. Sun, Z. Shen, Y. Wang, H. Bao, and X. Zhou, "LoFTR: Detector-free local feature matching with transformers," in </w:t>
      </w:r>
      <w:r>
        <w:rPr>
          <w:rFonts w:ascii="Times New Roman" w:hAnsi="Times New Roman"/>
          <w:i/>
          <w:sz w:val="16"/>
        </w:rPr>
        <w:t>Proc. IEEE/CVF Conf. Computer Vision and Pattern Recognition (CVPR)</w:t>
      </w:r>
      <w:r>
        <w:rPr>
          <w:rFonts w:ascii="Times New Roman" w:hAnsi="Times New Roman"/>
          <w:sz w:val="16"/>
        </w:rPr>
        <w:t>, 2021, pp. 8922–8931.</w:t>
      </w:r>
    </w:p>
    <w:p>
      <w:pPr>
        <w:spacing w:after="20" w:before="0" w:line="240" w:lineRule="auto"/>
        <w:jc w:val="left"/>
      </w:pPr>
      <w:r>
        <w:rPr>
          <w:rFonts w:ascii="Times New Roman" w:hAnsi="Times New Roman"/>
          <w:sz w:val="16"/>
        </w:rPr>
        <w:t xml:space="preserve">[9] D. Barath, J. Noskova, M. Ivashechkin, and J. Matas, "MAGSAC++, a fast, reliable and accurate robust estimator," in </w:t>
      </w:r>
      <w:r>
        <w:rPr>
          <w:rFonts w:ascii="Times New Roman" w:hAnsi="Times New Roman"/>
          <w:i/>
          <w:sz w:val="16"/>
        </w:rPr>
        <w:t>Proc. IEEE/CVF Conf. Computer Vision and Pattern Recognition (CVPR)</w:t>
      </w:r>
      <w:r>
        <w:rPr>
          <w:rFonts w:ascii="Times New Roman" w:hAnsi="Times New Roman"/>
          <w:sz w:val="16"/>
        </w:rPr>
        <w:t>, 2020, pp. 1304–1312.</w:t>
      </w:r>
    </w:p>
    <w:p>
      <w:pPr>
        <w:spacing w:after="20" w:before="0" w:line="240" w:lineRule="auto"/>
        <w:jc w:val="left"/>
      </w:pPr>
      <w:r>
        <w:rPr>
          <w:rFonts w:ascii="Times New Roman" w:hAnsi="Times New Roman"/>
          <w:sz w:val="16"/>
        </w:rPr>
        <w:t xml:space="preserve">[10] Q. McNemar, "Note on the sampling error of the difference between correlated proportions or percentages," </w:t>
      </w:r>
      <w:r>
        <w:rPr>
          <w:rFonts w:ascii="Times New Roman" w:hAnsi="Times New Roman"/>
          <w:i/>
          <w:sz w:val="16"/>
        </w:rPr>
        <w:t>Psychometrika</w:t>
      </w:r>
      <w:r>
        <w:rPr>
          <w:rFonts w:ascii="Times New Roman" w:hAnsi="Times New Roman"/>
          <w:sz w:val="16"/>
        </w:rPr>
        <w:t>, vol. 12, pp. 153–157, 1947.</w:t>
      </w:r>
    </w:p>
    <w:p>
      <w:pPr>
        <w:spacing w:after="20" w:before="0" w:line="240" w:lineRule="auto"/>
        <w:jc w:val="left"/>
      </w:pPr>
      <w:r>
        <w:rPr>
          <w:rFonts w:ascii="Times New Roman" w:hAnsi="Times New Roman"/>
          <w:sz w:val="16"/>
        </w:rPr>
        <w:t xml:space="preserve">[11] W. J. Youden, "Index for rating diagnostic tests," </w:t>
      </w:r>
      <w:r>
        <w:rPr>
          <w:rFonts w:ascii="Times New Roman" w:hAnsi="Times New Roman"/>
          <w:i/>
          <w:sz w:val="16"/>
        </w:rPr>
        <w:t>Cancer</w:t>
      </w:r>
      <w:r>
        <w:rPr>
          <w:rFonts w:ascii="Times New Roman" w:hAnsi="Times New Roman"/>
          <w:sz w:val="16"/>
        </w:rPr>
        <w:t>, vol. 3, pp. 32–35, 1950.</w:t>
      </w:r>
    </w:p>
    <w:sectPr>
      <w:headerReference r:id="rId9" w:type="default"/>
      <w:pgSz w:h="15840" w:w="12240" w:orient="portrait"/>
      <w:pgMar w:bottom="1080" w:top="1080" w:left="1080" w:right="1080" w:header="432" w:footer="432"/>
      <w:pgNumType w:start="1"/>
      <w:cols w:equalWidth="0" w:num="2">
        <w:col w:space="288" w:w="4896"/>
        <w:col w:space="0" w:w="489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MS Mincho"/>
  <w:font w:name="Courier New"/>
  <w:font w:name="Symbol"/>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*Research supported by ABC Foundation.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 A. Author is with the National Institute of Standards and Technology, Boulder, CO 80305 USA (corresponding author to e-mail: author@ boulder.nist.gov).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 B. Author, Jr., was with Rice University, Houston, TX 77005 USA. He is now with the Department of Physics, Colorado State University, Fort Collins, CO 80523 USA (e-mail: author@lamar. colostate.edu).</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vertAlign w:val="baseline"/>
      </w:rPr>
    </w:pPr>
    <w:r w:rsidDel="00000000" w:rsidR="00000000" w:rsidRPr="00000000">
      <w:rPr>
        <w:rtl w:val="0"/>
      </w:rPr>
    </w:r>
  </w:p>
  <w:p w:rsidR="00000000" w:rsidDel="00000000" w:rsidP="00000000" w:rsidRDefault="00000000" w:rsidRPr="00000000" w14:paraId="00000035">
    <w:pPr>
      <w:ind w:right="360"/>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Figure %1. "/>
      <w:lvlJc w:val="left"/>
      <w:pPr>
        <w:ind w:left="0" w:firstLine="0"/>
      </w:pPr>
      <w:rPr>
        <w:rFonts w:ascii="Times New Roman" w:cs="Times New Roman" w:eastAsia="Times New Roman" w:hAnsi="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upperRoman"/>
      <w:lvlText w:val="TABLE %1. "/>
      <w:lvlJc w:val="left"/>
      <w:pPr>
        <w:ind w:left="0" w:firstLine="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80" w:before="240" w:lineRule="auto"/>
      <w:ind w:left="0"/>
      <w:jc w:val="center"/>
    </w:pPr>
    <w:rPr>
      <w:smallCaps w:val="1"/>
      <w:vertAlign w:val="baseline"/>
    </w:rPr>
  </w:style>
  <w:style w:type="paragraph" w:styleId="Heading2">
    <w:name w:val="heading 2"/>
    <w:basedOn w:val="Normal"/>
    <w:next w:val="Normal"/>
    <w:pPr>
      <w:keepNext w:val="1"/>
      <w:spacing w:after="60" w:before="120" w:lineRule="auto"/>
      <w:ind w:left="144"/>
    </w:pPr>
    <w:rPr>
      <w:i w:val="1"/>
      <w:vertAlign w:val="baseline"/>
    </w:rPr>
  </w:style>
  <w:style w:type="paragraph" w:styleId="Heading3">
    <w:name w:val="heading 3"/>
    <w:basedOn w:val="Normal"/>
    <w:next w:val="Normal"/>
    <w:pPr>
      <w:keepNext w:val="1"/>
      <w:ind w:left="288"/>
    </w:pPr>
    <w:rPr>
      <w:i w:val="1"/>
      <w:vertAlign w:val="baseline"/>
    </w:rPr>
  </w:style>
  <w:style w:type="paragraph" w:styleId="Heading4">
    <w:name w:val="heading 4"/>
    <w:basedOn w:val="Normal"/>
    <w:next w:val="Normal"/>
    <w:pPr>
      <w:keepNext w:val="1"/>
      <w:spacing w:after="60" w:before="240" w:lineRule="auto"/>
      <w:ind w:left="1152" w:hanging="720"/>
    </w:pPr>
    <w:rPr>
      <w:i w:val="1"/>
      <w:sz w:val="18"/>
      <w:szCs w:val="18"/>
      <w:vertAlign w:val="baseline"/>
    </w:rPr>
  </w:style>
  <w:style w:type="paragraph" w:styleId="Heading5">
    <w:name w:val="heading 5"/>
    <w:basedOn w:val="Normal"/>
    <w:next w:val="Normal"/>
    <w:pPr>
      <w:spacing w:after="60" w:before="240" w:lineRule="auto"/>
      <w:ind w:left="1872" w:hanging="720"/>
    </w:pPr>
    <w:rPr>
      <w:sz w:val="18"/>
      <w:szCs w:val="18"/>
      <w:vertAlign w:val="baseline"/>
    </w:rPr>
  </w:style>
  <w:style w:type="paragraph" w:styleId="Heading6">
    <w:name w:val="heading 6"/>
    <w:basedOn w:val="Normal"/>
    <w:next w:val="Normal"/>
    <w:pPr>
      <w:spacing w:after="60" w:before="240" w:lineRule="auto"/>
      <w:ind w:left="2592" w:hanging="720"/>
    </w:pPr>
    <w:rPr>
      <w:i w:val="1"/>
      <w:sz w:val="16"/>
      <w:szCs w:val="16"/>
      <w:vertAlign w:val="baseline"/>
    </w:rPr>
  </w:style>
  <w:style w:type="paragraph" w:styleId="Title">
    <w:name w:val="Title"/>
    <w:basedOn w:val="Normal"/>
    <w:next w:val="Normal"/>
    <w:pPr>
      <w:spacing w:before="360" w:lineRule="auto"/>
      <w:jc w:val="center"/>
    </w:pPr>
    <w:rPr>
      <w:b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cjsjournal.or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