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Pyramidal wrappers break non-abstaining dense matchers: a diagnostic study of foundation-model registration in correlative microscopy</w:t>
      </w:r>
    </w:p>
    <w:p>
      <w:r>
        <w:rPr>
          <w:b/>
        </w:rPr>
        <w:t>Abstract</w:t>
      </w:r>
    </w:p>
    <w:p>
      <w:pPr>
        <w:jc w:val="both"/>
      </w:pPr>
      <w:r>
        <w:t>Correlative materials microscopy pairs images of one specimen across modalities (SEM, EBSD, TEM, optical) that share little appearance and can differ in field of view (FOV) by orders of magnitude, defeating classical registration. We tested whether a scale-aware pyramidal wrapper around pretrained dense matchers (RoMa, ELoFTR, MatchAnything) could lift cross-modal registration on AmalgaMatch (187 pairs, 19 subsets). A naive tiling pyramid degrades matchers badly: because they never abstain, every tile floods robust estimation with thousands of confident matches (median error 76→1794 px). A redesigned verified coarse-to-fine wrapper recovers a small gain (SR@10 0.10→0.12, p = 0.034) without losing a pair at that threshold, yet FOV ≤5% success stays zero; that gain is contingent on the reported error metric and vanishes on unrefined matcher error (Δ = 0.000, p = 1.00). The largest lever was the backbone: cross-modal-trained MatchAnything-RoMa gave the only other gain over zero-shot (SR@10 +0.032, p = 0.035), among high-FOV pairs, and it is metric-contingent in the same way (p = 0.33 unrefined). A controlled FOV ladder isolating scale (appearance fixed) shows the wrapper triples success at 10% FOV (0.07→0.23, p = 0.0028 on unrefined error), much the largest effect we measured, so the scale mechanism is sound; after TPS refinement the same effect halves and loses significance. Decoder-only fine-tuning cut in-distribution TEM error ~5×, but across eight runs regressed SR@20 (0.393→0.26) on the four test pairs whose modality combination is absent from training, which L2-SP did not fix. A directly measured appearance axis (normalised mutual information on the GT-aligned overlap) confirms that low FOV and appearance divergence are confounded on this benchmark (r = +0.215, p = 0.003) but does not show appearance dominating scale; with at most three of 61 sub-0.5-area-ratio pairs ever registered by any zero-shot or wrapped configuration, AmalgaMatch has too little leverage in that regime to separate the two.</w:t>
      </w:r>
    </w:p>
    <w:p>
      <w:r>
        <w:rPr>
          <w:b/>
        </w:rPr>
        <w:t>Hypothesis verdicts</w:t>
      </w:r>
    </w:p>
    <w:p>
      <w:pPr>
        <w:pStyle w:val="ListBullet"/>
      </w:pPr>
      <w:r>
        <w:t xml:space="preserve">H1 (pyramid &gt;= 35% gain at FOV &lt;= 5%): </w:t>
      </w:r>
      <w:r>
        <w:rPr>
          <w:b/>
        </w:rPr>
        <w:t>rejected; and untestable on this benchmark, which holds only four pairs below area ratio 0.05.</w:t>
      </w:r>
    </w:p>
    <w:p>
      <w:pPr>
        <w:pStyle w:val="ListBullet"/>
      </w:pPr>
      <w:r>
        <w:t xml:space="preserve">H2 (RoMa beats the ELoFTR family at low FOV): </w:t>
      </w:r>
      <w:r>
        <w:rPr>
          <w:b/>
        </w:rPr>
        <w:t>supported.</w:t>
      </w:r>
    </w:p>
    <w:p>
      <w:pPr>
        <w:pStyle w:val="ListBullet"/>
      </w:pPr>
      <w:r>
        <w:t xml:space="preserve">H3 (affine sufficient vs. homography): </w:t>
      </w:r>
      <w:r>
        <w:rPr>
          <w:b/>
        </w:rPr>
        <w:t>mostly supported (affine selected on 69% of well-registered pairs).</w:t>
      </w:r>
    </w:p>
    <w:p>
      <w:r>
        <w:rPr>
          <w:i/>
        </w:rPr>
        <w:t>Full methods, tables, and figures: paper/paper.md. Metric-sensitivity and appearance-axis analyses: reports/metric_sensitivity.md and reports/appearance_axis.md. All numbers regenerate from results/ via the scripts referenced therein.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