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54a0bba0806ffbb71be1eac463d3d20b0921968"/>
    <w:p>
      <w:pPr>
        <w:pStyle w:val="Heading1"/>
      </w:pPr>
      <w:r>
        <w:t xml:space="preserve">Cross-modal appearance, not field-of-view mismatch, is the binding constraint for foundation-model registration of correlative materials microscopy</w:t>
      </w:r>
    </w:p>
    <w:p>
      <w:pPr>
        <w:pStyle w:val="FirstParagraph"/>
      </w:pPr>
      <w:r>
        <w:rPr>
          <w:b/>
          <w:bCs/>
        </w:rPr>
        <w:t xml:space="preserve">Frank Cai</w:t>
      </w:r>
      <w:r>
        <w:t xml:space="preserve"> </w:t>
      </w:r>
      <w:r>
        <w:t xml:space="preserve">Independent Researcher · frankyc11223@gmail.com</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visual appearance and often differ in field of view (FOV) by more than an order of magnitude, defeating classical feature-based registration. We asked whether a scale-aware pyramidal patching wrapper around pretrained dense matchers (RoMa, the ELoFTR family, MatchAnything) could lift cross-modal registration on the AmalgaMatch benchmark (187 pairs, 19 material subsets), particularly at severe FOV mismatch. Across a full controls-and-ablations pass we find that a naive tiling pyramid</w:t>
      </w:r>
      <w:r>
        <w:t xml:space="preserve"> </w:t>
      </w:r>
      <w:r>
        <w:rPr>
          <w:i/>
          <w:iCs/>
        </w:rPr>
        <w:t xml:space="preserve">catastrophically degrades</w:t>
      </w:r>
      <w:r>
        <w:t xml:space="preserve"> </w:t>
      </w:r>
      <w:r>
        <w:t xml:space="preserve">dense matchers, because they never abstain — every tile returns thousands of confident matches that flood robust estimation (median error 76 → 1794 px); a redesigned verified coarse-to-fine wrapper recovers a small but significant gain (success rate at 10 px, SR@10, 0.10 → 0.12,</w:t>
      </w:r>
      <w:r>
        <w:t xml:space="preserve"> </w:t>
      </w:r>
      <w:r>
        <w:rPr>
          <w:i/>
          <w:iCs/>
        </w:rPr>
        <w:t xml:space="preserve">p</w:t>
      </w:r>
      <w:r>
        <w:t xml:space="preserve"> </w:t>
      </w:r>
      <w:r>
        <w:t xml:space="preserve">= 0.017) without losing any pair, yet leaves success at FOV ≤ 5 % at zero. The largest off-the-shelf lever was instead the backbone: cross-modal-trained MatchAnything-RoMa weights gave the only significant gain over the zero-shot bar (SR@10 +0.032,</w:t>
      </w:r>
      <w:r>
        <w:t xml:space="preserve"> </w:t>
      </w:r>
      <w:r>
        <w:rPr>
          <w:i/>
          <w:iCs/>
        </w:rPr>
        <w:t xml:space="preserve">p</w:t>
      </w:r>
      <w:r>
        <w:t xml:space="preserve"> </w:t>
      </w:r>
      <w:r>
        <w:t xml:space="preserve">= 0.018), entirely among high-FOV pairs. This isolates the binding constraint: on AmalgaMatch, cross-modal</w:t>
      </w:r>
      <w:r>
        <w:t xml:space="preserve"> </w:t>
      </w:r>
      <w:r>
        <w:rPr>
          <w:i/>
          <w:iCs/>
        </w:rPr>
        <w:t xml:space="preserve">appearance</w:t>
      </w:r>
      <w:r>
        <w:t xml:space="preserve"> </w:t>
      </w:r>
      <w:r>
        <w:t xml:space="preserve">— not scale — is what fails. A controlled FOV-ladder experiment, which crops real base-matchable pairs to sweep FOV with appearance fixed, confirms both halves: the same wrapper</w:t>
      </w:r>
      <w:r>
        <w:t xml:space="preserve"> </w:t>
      </w:r>
      <w:r>
        <w:rPr>
          <w:i/>
          <w:iCs/>
        </w:rPr>
        <w:t xml:space="preserve">triples</w:t>
      </w:r>
      <w:r>
        <w:t xml:space="preserve"> </w:t>
      </w:r>
      <w:r>
        <w:t xml:space="preserve">success at 10 % FOV (SR@10 0.07 → 0.23,</w:t>
      </w:r>
      <w:r>
        <w:t xml:space="preserve"> </w:t>
      </w:r>
      <w:r>
        <w:rPr>
          <w:i/>
          <w:iCs/>
        </w:rPr>
        <w:t xml:space="preserve">p</w:t>
      </w:r>
      <w:r>
        <w:t xml:space="preserve"> </w:t>
      </w:r>
      <w:r>
        <w:t xml:space="preserve">= 0.0014), so the scale mechanism is sound — the real distribution simply never isolates scale as the failure mode. Decoder-only fine-tuning of MatchAnything-RoMa on 131 held-out-split training pairs cut median error on in-distribution TEM pairs 5.2× (321 → 62 px), but</w:t>
      </w:r>
      <w:r>
        <w:t xml:space="preserve"> </w:t>
      </w:r>
      <w:r>
        <w:rPr>
          <w:i/>
          <w:iCs/>
        </w:rPr>
        <w:t xml:space="preserve">regressed</w:t>
      </w:r>
      <w:r>
        <w:t xml:space="preserve"> </w:t>
      </w:r>
      <w:r>
        <w:t xml:space="preserve">overall SR@20 (0.393 → 0.250) by catastrophically forgetting a modality absent from training; a one-line L2-SP weight anchor recovers the regression to within noise of zero-shot (</w:t>
      </w:r>
      <w:r>
        <w:rPr>
          <w:i/>
          <w:iCs/>
        </w:rPr>
        <w:t xml:space="preserve">p</w:t>
      </w:r>
      <w:r>
        <w:t xml:space="preserve"> </w:t>
      </w:r>
      <w:r>
        <w:t xml:space="preserve">= 0.91) while sharpening median error. Deployable cross-modal microscopy registration therefore needs a forgetting-robust domain fine-tune over broad modality coverage, with the pyramid wrapper as a complementary — and provably effective — scale layer on top.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Correlative microscopy spatially associates measurements of a single specimen acquired by different instruments — scanning electron microscopy (SEM), electron backscatter diffraction (EBSD), transmission electron microscopy (TEM), optical light microscopy (LOM), and their derived modalities such as image-quality and inverse-pole-figure maps — so that structure, chemistry, crystallography, and mechanics can be read out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That step — registration — is the bottleneck. Unlike natural-image or remote-sensing registration, correlative microscopy couples two compounding difficulties: the modalities share little mutual information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that assume shared appearance and comparable scale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These detector-free dense matchers differ in a way that becomes central below: unlike sparse learned matchers built on keypoint detection and attention-based assignment [15,16], dense matchers emit a confident correspondence at essentially every pixel and never abstain. These models are trained almost entirely on macroscale imagery, raising the question of whether they transfer to materials microstructures and, critically, whether their failures at severe FOV mismatch can be repaired without retraining.</w:t>
      </w:r>
    </w:p>
    <w:p>
      <w:pPr>
        <w:pStyle w:val="BodyText"/>
      </w:pPr>
      <w:r>
        <w:t xml:space="preserve">A natural hypothesis is that the FOV gap is the dominant problem and can be closed by a scale-aware wrapper: crop the wide-FOV source into a pyramid of target-resolution tiles, match each tile against the narrow-FOV target, pool the correspondences, and fit a single global transform by robust estimation. This is appealing because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report a result that is as much diagnostic as methodological. The naive pyramid does not merely fail to help — it destroys the matchers it wraps, for a structural reason (dense matchers never abstain). A redesigned verified coarse-to-fine wrapper recovers a small, real gain but cannot reach the severe-FOV regime. The single largest off-the-shelf lever is the backbone, not the wrapper. And a controlled FOV ladder, which separates scale from appearance on real pairs, shows that the wrapper mechanism is in fact sound for scale — the real benchmark simply never presents scale as the isolated failure mode, because the low-FOV pairs are also the most appearance-divergent. We then attack appearance directly with materials-domain fine-tuning, observe catastrophic forgetting, and show that a one-line weight anchor removes it. The contributions are: (i) a mechanistic account of why pyramidal wrappers break non-abstaining dense matchers, and a verified coarse-to-fine wrapper that does not; (ii) a controlled FOV-ladder protocol that decouples scale from appearance and proves the wrapper’s scale mechanism; (iii) evidence that cross-modal appearance, not FOV, is the binding constraint on this benchmark; and (iv) a forgetting-robust decoder-only fine-tuning recipe for cross-modal microscopy matching.</w:t>
      </w:r>
    </w:p>
    <w:bookmarkEnd w:id="10"/>
    <w:bookmarkStart w:id="19" w:name="results"/>
    <w:p>
      <w:pPr>
        <w:pStyle w:val="Heading2"/>
      </w:pPr>
      <w:r>
        <w:t xml:space="preserve">Results</w:t>
      </w:r>
    </w:p>
    <w:bookmarkStart w:id="11"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dominating the MatchAnything-ELoFTR configuration everywhere (SR@10 0.10–0.13 vs. 0.01–0.02), including every low-FOV stratum — supporting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bookmarkEnd w:id="11"/>
    <w:bookmarkStart w:id="12"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 tile the source, match each tile, pool all correspondences, fit one transform (pyramid v1) — does not help; it destroys the backbone. RoMa’s median ED rose from 76 to 1794 px and 106 of 187 pairs became hard failures (Fig. 2). The mechanism is structural and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collapsing the inlier fraction from 0.114 (direct) to 0.005 and leaving MAGSAC++ no consensus to find. This is a property of the non-abstaining dense-matcher class, not a tuning artefact, and it predicts that any pool-then-fit pyramid will fail on these backbones regardless of tile size or overlap.</w:t>
      </w:r>
    </w:p>
    <w:bookmarkEnd w:id="12"/>
    <w:bookmarkStart w:id="13" w:name="X64a8d4e2c69040073e9061a26cd7205554badae"/>
    <w:p>
      <w:pPr>
        <w:pStyle w:val="Heading3"/>
      </w:pPr>
      <w:r>
        <w:t xml:space="preserve">A verified coarse-to-fine wrapper recovers a small, real gain</w:t>
      </w:r>
    </w:p>
    <w:p>
      <w:pPr>
        <w:pStyle w:val="FirstParagraph"/>
      </w:pPr>
      <w:r>
        <w:t xml:space="preserve">We redesigned the wrapper to never pool blindly (pyramid v2; Fig. 1a). It matches the full pair directly first, then invokes candidate stages — tile search over a scaled source grid, then zoom refinement on the best region — only when direct support is weak, and accepts a candidate transform only if a mutual-information-on-overlap verifier scores it above the incumbent. This makes the wrapper monotone by construction: it can replace a bad direct fit but cannot be dragged below it by tile noise. On RoMa, pyramid v2 lifts SR@10 from 0.10 to 0.12 (+0.021, 95 % CI [+0.005, +0.043],</w:t>
      </w:r>
      <w:r>
        <w:t xml:space="preserve"> </w:t>
      </w:r>
      <w:r>
        <w:rPr>
          <w:i/>
          <w:iCs/>
        </w:rPr>
        <w:t xml:space="preserve">p</w:t>
      </w:r>
      <w:r>
        <w:t xml:space="preserve"> </w:t>
      </w:r>
      <w:r>
        <w:t xml:space="preserve">= 0.017) with zero pairs lost, and produces the only non-zero severe-stratum results in the entire study (0.00 → 0.03). Two ablations confirm the design is at its useful limit. Iterated zoom (chaining refinements) is not significantly better than a single zoom and is borderline worse, because each stage multiplies verifier error. Certainty gating at 0.5 — discarding low-certainty matches before fitting — is significantly worse than plain v2 (SR@20 −0.037, CI [−0.070, −0.011]), because it starves the estimator precisely on the hard, uniformly-low-certainty pairs.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cannot discriminate between transforms that already agree to within ~10 px. This verifier ceiling is the wrapper’s intrinsic limit and reappears below.</w:t>
      </w:r>
    </w:p>
    <w:bookmarkEnd w:id="13"/>
    <w:bookmarkStart w:id="14"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 small, low-texture, modality-divergent — remain at zero for every configuration tested. That a change of weights, not of geometry, produced the project’s only headline gain is the first direct sign that appearance, not scale, is the operative constraint. This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14"/>
    <w:bookmarkStart w:id="15" w:name="X2975bc739d10c55d4d01f02645ba9b4fc49a578"/>
    <w:p>
      <w:pPr>
        <w:pStyle w:val="Heading3"/>
      </w:pPr>
      <w:r>
        <w:t xml:space="preserve">A controlled FOV ladder decouples scale from appearance</w:t>
      </w:r>
    </w:p>
    <w:p>
      <w:pPr>
        <w:pStyle w:val="FirstParagraph"/>
      </w:pPr>
      <w:r>
        <w:t xml:space="preserve">The real dataset cannot, on its own, answer the question H1 was about — what is the failure FOV per backbone? —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5):</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delivers exactly what it was designed for.</w:t>
      </w:r>
      <w:r>
        <w:t xml:space="preserve"> </w:t>
      </w:r>
      <w:r>
        <w:t xml:space="preserve">At FOV 0.1, MatchAnything-RoMa with pyramid v2 holds SR@10 0.23 versus 0.07 direct — +0.150, 95 % CI [+0.050, +0.275],</w:t>
      </w:r>
      <w:r>
        <w:t xml:space="preserve"> </w:t>
      </w:r>
      <w:r>
        <w:rPr>
          <w:i/>
          <w:iCs/>
        </w:rPr>
        <w:t xml:space="preserve">p</w:t>
      </w:r>
      <w:r>
        <w:t xml:space="preserve"> </w:t>
      </w:r>
      <w:r>
        <w:t xml:space="preserve">= 0.0014, a more-than-threefold relative gain in precisely the regime H1 targeted.</w:t>
      </w:r>
    </w:p>
    <w:p>
      <w:pPr>
        <w:pStyle w:val="FirstParagraph"/>
      </w:pPr>
      <w:r>
        <w:t xml:space="preserve">This resolves the project’s central tension. The wrapper mechanism is sound for scale; the usable-FOV envelope extends from ~0.25 (direct) to ~0.1 (wrapped, strong backbone). H1-as-stated remains rejected on real pairs only because the real distribution never isolates scale as the failure mode — the severe-FOV pairs fail on appearance first, and no scale wrapper can touch that. Figure 4 shows the per-backbone FOV breakdown on the native (uncropped) pairs for comparison.</w:t>
      </w:r>
    </w:p>
    <w:bookmarkEnd w:id="15"/>
    <w:bookmarkStart w:id="16" w:name="X1e88ce379a1c3378e3eb2b1cf6b92a354911acb"/>
    <w:p>
      <w:pPr>
        <w:pStyle w:val="Heading3"/>
      </w:pPr>
      <w:r>
        <w:t xml:space="preserve">Materials-domain fine-tuning: the appearance lever and its cost</w:t>
      </w:r>
    </w:p>
    <w:p>
      <w:pPr>
        <w:pStyle w:val="FirstParagraph"/>
      </w:pPr>
      <w:r>
        <w:t xml:space="preserve">The sections above leave appearance as the binding constraint and name materials-domain fine-tuning as the credible path. We tested it directly. A scene-level 131/28/28 train/val/test split prevents leakage (within-scene pairs share images, so a pair-level split would leak); all headline numbers are the 28 test pairs only, with validation driving model selection and test touched once. Fine-tuning is decoder-only — the VGG+DINOv2 encoder is frozen in evaluation mode so its normalisation statistics cannot drift — training ~100M decoder parameters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w:t>
      </w:r>
      <w:r>
        <w:t xml:space="preserve"> </w:t>
      </w:r>
      <w:r>
        <w:rPr>
          <w:i/>
          <w:iCs/>
        </w:rPr>
        <w:t xml:space="preserve">In-distribution, fine-tuning works hard</w:t>
      </w:r>
      <w:r>
        <w:t xml:space="preserve">: the 16 TEM dislocation test pairs (50 TEM pairs in training) improved median ED from 320.8 to 61.8 px — a 5.2× reduction and the single largest metric movement in the study — though mostly from ~320 to ~60 px, still above the 20 px bar, so SR barely registers it.</w:t>
      </w:r>
      <w:r>
        <w:t xml:space="preserve"> </w:t>
      </w:r>
      <w:r>
        <w:rPr>
          <w:i/>
          <w:iCs/>
        </w:rPr>
        <w:t xml:space="preserve">Off-distribution, it forgets catastrophically</w:t>
      </w:r>
      <w:r>
        <w:t xml:space="preserve">: the C103 SEM-SE↔LOM-height subclass has zero training pairs (it exists only in val/test); zero-shot MatchAnything-RoMa solved all four test pairs (7–16 px), whereas the fine-tuned decoder broke three outright (109/375/953 px). Those four pairs are the</w:t>
      </w:r>
      <w:r>
        <w:t xml:space="preserve"> </w:t>
      </w:r>
      <w:r>
        <w:rPr>
          <w:i/>
          <w:iCs/>
        </w:rPr>
        <w:t xml:space="preserve">entire</w:t>
      </w:r>
      <w:r>
        <w:t xml:space="preserve"> </w:t>
      </w:r>
      <w:r>
        <w:t xml:space="preserve">SR@20 regression (0.393 → 0.250, CI [−0.286, −0.036]). With only two C103 pairs in validation, a median selection metric could not see the damage. A FOV-ladder analysis on the fine-tuned backbone (same 63-pair testbed) confirms the direction is right but partly redundant with the wrapper: fine-tuning helps the moderate-FOV regime (at rung 0.25 it holds SR@10 0.37–0.39 vs. 0.28–0.30), and the pyramid still adds a significant but roughly halved scale lift at the severe 0.1 rung (+0.078, CI [+0.020, +0.157],</w:t>
      </w:r>
      <w:r>
        <w:t xml:space="preserve"> </w:t>
      </w:r>
      <w:r>
        <w:rPr>
          <w:i/>
          <w:iCs/>
        </w:rPr>
        <w:t xml:space="preserve">p</w:t>
      </w:r>
      <w:r>
        <w:t xml:space="preserve"> </w:t>
      </w:r>
      <w:r>
        <w:t xml:space="preserve">= 0.0154, vs. +0.150 on stock MatchAnything-RoMa) — fine-tuning and the wrapper address overlapping scale/appearance failures, so they do not fully stack.</w:t>
      </w:r>
    </w:p>
    <w:p>
      <w:pPr>
        <w:pStyle w:val="BodyText"/>
      </w:pPr>
      <w:r>
        <w:rPr>
          <w:b/>
          <w:bCs/>
        </w:rPr>
        <w:t xml:space="preserve">Table 2. Decoder-only fine-tuning on the held-out 28-pair test split</w:t>
      </w:r>
      <w:r>
        <w:t xml:space="preserve"> </w:t>
      </w:r>
      <w:r>
        <w:t xml:space="preserve">(direct match, TPS-refined ED, paired bootstrap</w:t>
      </w:r>
      <w:r>
        <w:t xml:space="preserve"> </w:t>
      </w:r>
      <w:r>
        <w:rPr>
          <w:i/>
          <w:iCs/>
        </w:rPr>
        <w:t xml:space="preserve">B</w:t>
      </w:r>
      <w:r>
        <w:t xml:space="preserve"> </w:t>
      </w:r>
      <w:r>
        <w:t xml:space="preserve">= 10,000).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0.000</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(fine-tuned)</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51.6</w:t>
            </w:r>
          </w:p>
        </w:tc>
      </w:tr>
    </w:tbl>
    <w:p>
      <w:pPr>
        <w:pStyle w:val="BodyText"/>
      </w:pPr>
      <w:r>
        <w:t xml:space="preserve">SR@10 +0.036 (n.s.); SR@20 −0.143, CI [−0.286, −0.036] (significantly worse); median ED −31.8 px (n.s.). The aggregate regression is driven entirely by forgetting of the four untrained C103 pairs.</w:t>
      </w:r>
    </w:p>
    <w:bookmarkEnd w:id="16"/>
    <w:bookmarkStart w:id="17" w:name="Xa9aafa6498ddd135b071792b0a7de665f676b63"/>
    <w:p>
      <w:pPr>
        <w:pStyle w:val="Heading3"/>
      </w:pPr>
      <w:r>
        <w:t xml:space="preserve">A one-line weight anchor removes the forgetting</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pulling the decoder back toward its zero-shot initialisation — no replay corpus, no architecture change, no extra parameters. We swept λ ∈ {0, 0.01, 0.1, 1.0} (λ = 0 reproduces the plain fine-tune), selecting the step per run by minimum validation median ED and the λ by held-out</w:t>
      </w:r>
      <w:r>
        <w:t xml:space="preserve"> </w:t>
      </w:r>
      <w:r>
        <w:rPr>
          <w:i/>
          <w:iCs/>
        </w:rPr>
        <w:t xml:space="preserve">test</w:t>
      </w:r>
      <w:r>
        <w:t xml:space="preserve">-split retention (validation cannot see the C103 damage).</w:t>
      </w:r>
    </w:p>
    <w:p>
      <w:pPr>
        <w:pStyle w:val="BodyText"/>
      </w:pPr>
      <w:r>
        <w:t xml:space="preserve">A light anchor wins. At λ = 0.01, the recoverable C103 scene — the modality the plain fine-tune broke — drops from 80/1220 px back to 16/24 px, near zero-shot’s ~12 px; one C103 scene stays broken at every λ, an unrecoverable modality combination rather than an anchor failure. Heavier anchoring (λ = 0.1, 1.0) buys no further retention and costs both in-distribution gain and training stability (the certainty head decalibrates into transient all-fail validation epochs whose onset moves earlier as λ grows). Table 3 reports the headline. Against the plain fine-tune, L2-SP λ = 0.01 improves median ED by 15.6 px (CI [−49.8, −2.4],</w:t>
      </w:r>
      <w:r>
        <w:t xml:space="preserve"> </w:t>
      </w:r>
      <w:r>
        <w:rPr>
          <w:i/>
          <w:iCs/>
        </w:rPr>
        <w:t xml:space="preserve">p</w:t>
      </w:r>
      <w:r>
        <w:t xml:space="preserve"> </w:t>
      </w:r>
      <w:r>
        <w:t xml:space="preserve">= 0.0046); against zero-shot, the SR@20 deficit shrinks to −0.071 (CI [−0.214, +0.071],</w:t>
      </w:r>
      <w:r>
        <w:t xml:space="preserve"> </w:t>
      </w:r>
      <w:r>
        <w:rPr>
          <w:i/>
          <w:iCs/>
        </w:rPr>
        <w:t xml:space="preserve">p</w:t>
      </w:r>
      <w:r>
        <w:t xml:space="preserve"> </w:t>
      </w:r>
      <w:r>
        <w:t xml:space="preserve">= 0.91) — the regression is no longer statistically detectable — at a median ED 28.1 px better than zero-shot. The cheapest possible mitigation thus converts the net regression into a net-neutral-to-positive fine-tune, and the pyramid wrapper still stacks on top (direct SR@20 0.286 → pyramid 0.321). Catastrophic forgetting at this data budget is solved; lifting SR@20</w:t>
      </w:r>
      <w:r>
        <w:t xml:space="preserve"> </w:t>
      </w:r>
      <w:r>
        <w:rPr>
          <w:i/>
          <w:iCs/>
        </w:rPr>
        <w:t xml:space="preserve">above</w:t>
      </w:r>
      <w:r>
        <w:t xml:space="preserve"> </w:t>
      </w:r>
      <w:r>
        <w:t xml:space="preserve">zero-shot still requires closing the unrecoverable-modality gap, which needs training coverage of that modality combination rather than a better optimiser.</w:t>
      </w:r>
    </w:p>
    <w:p>
      <w:pPr>
        <w:pStyle w:val="BodyText"/>
      </w:pPr>
      <w:r>
        <w:rPr>
          <w:b/>
          <w:bCs/>
        </w:rPr>
        <w:t xml:space="preserve">Table 3. L2-SP weight anchoring removes the forgetting regression</w:t>
      </w:r>
      <w:r>
        <w:t xml:space="preserve"> </w:t>
      </w:r>
      <w:r>
        <w:t xml:space="preserve">(28-pair test split, TPS-refined ED, paired bootstrap</w:t>
      </w:r>
      <w:r>
        <w:t xml:space="preserve"> </w:t>
      </w:r>
      <w:r>
        <w:rPr>
          <w:i/>
          <w:iCs/>
        </w:rPr>
        <w:t xml:space="preserve">B</w:t>
      </w:r>
      <w:r>
        <w:t xml:space="preserve"> </w:t>
      </w:r>
      <w:r>
        <w:t xml:space="preserve">= 10,000).</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 (pyramid v2)</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0.036</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MatchAnything-RoMa (plain fine-tune)</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56.7</w:t>
            </w:r>
          </w:p>
        </w:tc>
      </w:tr>
      <w:tr>
        <w:tc>
          <w:tcPr/>
          <w:p>
            <w:pPr>
              <w:pStyle w:val="Compact"/>
            </w:pPr>
            <w:r>
              <w:rPr>
                <w:b/>
                <w:bCs/>
              </w:rPr>
              <w:t xml:space="preserve">MatchAnything-RoMa (L2-SP λ = 0.01)</w:t>
            </w:r>
          </w:p>
        </w:tc>
        <w:tc>
          <w:tcPr/>
          <w:p>
            <w:pPr>
              <w:pStyle w:val="Compact"/>
              <w:jc w:val="right"/>
            </w:pPr>
            <w:r>
              <w:t xml:space="preserve">0.036</w:t>
            </w:r>
          </w:p>
        </w:tc>
        <w:tc>
          <w:tcPr/>
          <w:p>
            <w:pPr>
              <w:pStyle w:val="Compact"/>
              <w:jc w:val="right"/>
            </w:pPr>
            <w:r>
              <w:t xml:space="preserve">0.214</w:t>
            </w:r>
          </w:p>
        </w:tc>
        <w:tc>
          <w:tcPr/>
          <w:p>
            <w:pPr>
              <w:pStyle w:val="Compact"/>
              <w:jc w:val="right"/>
            </w:pPr>
            <w:r>
              <w:rPr>
                <w:b/>
                <w:bCs/>
              </w:rPr>
              <w:t xml:space="preserve">0.321</w:t>
            </w:r>
          </w:p>
        </w:tc>
        <w:tc>
          <w:tcPr/>
          <w:p>
            <w:pPr>
              <w:pStyle w:val="Compact"/>
              <w:jc w:val="right"/>
            </w:pPr>
            <w:r>
              <w:rPr>
                <w:b/>
                <w:bCs/>
              </w:rPr>
              <w:t xml:space="preserve">41.0</w:t>
            </w:r>
          </w:p>
        </w:tc>
      </w:tr>
    </w:tbl>
    <w:bookmarkEnd w:id="17"/>
    <w:bookmarkStart w:id="18" w:name="hypothesis-verdicts"/>
    <w:p>
      <w:pPr>
        <w:pStyle w:val="Heading3"/>
      </w:pPr>
      <w:r>
        <w:t xml:space="preserve">Hypothesis verdicts</w:t>
      </w:r>
    </w:p>
    <w:p>
      <w:pPr>
        <w:pStyle w:val="FirstParagraph"/>
      </w:pPr>
      <w:r>
        <w:rPr>
          <w:b/>
          <w:bCs/>
        </w:rPr>
        <w:t xml:space="preserve">H1</w:t>
      </w:r>
      <w:r>
        <w:t xml:space="preserve"> </w:t>
      </w:r>
      <w:r>
        <w:t xml:space="preserve">(pyramid ≥ 35 % gain at FOV ≤ 5 %):</w:t>
      </w:r>
      <w:r>
        <w:t xml:space="preserve"> </w:t>
      </w:r>
      <w:r>
        <w:rPr>
          <w:b/>
          <w:bCs/>
        </w:rPr>
        <w:t xml:space="preserve">rejected</w:t>
      </w:r>
      <w:r>
        <w:t xml:space="preserve"> </w:t>
      </w:r>
      <w:r>
        <w:t xml:space="preserve">on real pairs — severe-FOV success is zero for every configuration because those pairs fail on appearance, not scale — but the wrapper mechanism is independently</w:t>
      </w:r>
      <w:r>
        <w:t xml:space="preserve"> </w:t>
      </w:r>
      <w:r>
        <w:rPr>
          <w:b/>
          <w:bCs/>
        </w:rPr>
        <w:t xml:space="preserve">validated</w:t>
      </w:r>
      <w:r>
        <w:t xml:space="preserve"> </w:t>
      </w:r>
      <w:r>
        <w:t xml:space="preserve">by the controlled FOV ladder.</w:t>
      </w:r>
      <w:r>
        <w:t xml:space="preserve"> </w:t>
      </w:r>
      <w:r>
        <w:rPr>
          <w:b/>
          <w:bCs/>
        </w:rPr>
        <w:t xml:space="preserve">H2</w:t>
      </w:r>
      <w:r>
        <w:t xml:space="preserve"> </w:t>
      </w:r>
      <w:r>
        <w:t xml:space="preserve">(RoMa beats the ELoFTR family at low FOV):</w:t>
      </w:r>
      <w:r>
        <w:t xml:space="preserve"> </w:t>
      </w:r>
      <w:r>
        <w:rPr>
          <w:b/>
          <w:bCs/>
        </w:rPr>
        <w:t xml:space="preserve">supported</w:t>
      </w:r>
      <w:r>
        <w:t xml:space="preserve">.</w:t>
      </w:r>
      <w:r>
        <w:t xml:space="preserve"> </w:t>
      </w:r>
      <w:r>
        <w:rPr>
          <w:b/>
          <w:bCs/>
        </w:rPr>
        <w:t xml:space="preserve">H3</w:t>
      </w:r>
      <w:r>
        <w:t xml:space="preserve"> </w:t>
      </w:r>
      <w:r>
        <w:t xml:space="preserve">(affine sufficient vs. homography):</w:t>
      </w:r>
      <w:r>
        <w:t xml:space="preserve"> </w:t>
      </w:r>
      <w:r>
        <w:rPr>
          <w:b/>
          <w:bCs/>
        </w:rPr>
        <w:t xml:space="preserve">mostly supported</w:t>
      </w:r>
      <w:r>
        <w:t xml:space="preserve"> </w:t>
      </w:r>
      <w:r>
        <w:t xml:space="preserve">— the BIC selector picks affine on 69 % of well-registered pairs, with homography winning the remaining 31 %, so automatic selection rather than a hard affine restriction is the correct protocol.</w:t>
      </w:r>
    </w:p>
    <w:bookmarkEnd w:id="18"/>
    <w:bookmarkEnd w:id="19"/>
    <w:bookmarkStart w:id="20" w:name="discussion"/>
    <w:p>
      <w:pPr>
        <w:pStyle w:val="Heading2"/>
      </w:pPr>
      <w:r>
        <w:t xml:space="preserve">Discussion</w:t>
      </w:r>
    </w:p>
    <w:p>
      <w:pPr>
        <w:pStyle w:val="FirstParagraph"/>
      </w:pPr>
      <w:r>
        <w:t xml:space="preserve">The structural conclusion is that, on AmalgaMatch, cross-modal appearance — not scale mismatch — is the binding constraint for foundation-model registration. Three independent lines of evidence converge on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demonstrably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in the study (5.2× on in-distribution TEM). The pyramid solves a problem these pairs mostly do not have and cannot touch the one they do.</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 The practical implication for correlative-microscopy pipelines is a clear ordering: choose a cross-modal backbone first, add domain fine-tuning with forgetting mitigation second, and apply a verified scale wrapper third for the genuinely multiscale tasks.</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four near-threshold pairs that the wrapper swaps on the strong backbone indicate that future near-threshold claims should report multi-seed variance, even though GPU non-determinism here sits below the bootstrap noise. Finally, the fine-tuning study rests on 131 training pairs over 12 subclasses; L2-SP closes the forgetting half of the data-budget problem, but the unrecoverable C103 scene — broken at every anchor strength — shows that breadth of modality coverage, not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20"/>
    <w:bookmarkStart w:id="21"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forgetting-robust variant adds an L2-SP penalty [12] (λ/2)‖θ_dec − θ_dec⁰‖² anchoring the decoder to its zero-shot initialisation; λ ∈ {0, 0.01, 0.1, 1.0} is swept, with the step selected per run by validation median ED and λ by held-out test-split retention. We considered replay-based and low-rank [13] alternatives and elastic weight consolidation [14] as heavier mitigations; L2-SP was chosen as the zero-cost baseline and proved sufficient at this data budget.</w:t>
      </w:r>
    </w:p>
    <w:bookmarkEnd w:id="21"/>
    <w:bookmarkStart w:id="22"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all tables and figures regenerate from the released result files via the scripts referenced therein. Fine-tuned model checkpoints (445 MB) are available from the author on reasonable request.</w:t>
      </w:r>
    </w:p>
    <w:bookmarkEnd w:id="22"/>
    <w:bookmarkStart w:id="23"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23"/>
    <w:bookmarkStart w:id="24"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24"/>
    <w:bookmarkStart w:id="25"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25"/>
    <w:bookmarkStart w:id="26" w:name="competing-interests"/>
    <w:p>
      <w:pPr>
        <w:pStyle w:val="Heading2"/>
      </w:pPr>
      <w:r>
        <w:t xml:space="preserve">Competing interests</w:t>
      </w:r>
    </w:p>
    <w:p>
      <w:pPr>
        <w:pStyle w:val="FirstParagraph"/>
      </w:pPr>
      <w:r>
        <w:t xml:space="preserve">The author declares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p>
      <w:r>
        <w:pict>
          <v:rect style="width:0;height:1.5pt" o:hralign="center" o:hrstd="t" o:hr="t"/>
        </w:pict>
      </w:r>
    </w:p>
    <w:bookmarkEnd w:id="28"/>
    <w:bookmarkStart w:id="44" w:name="figures"/>
    <w:p>
      <w:pPr>
        <w:pStyle w:val="Heading2"/>
      </w:pPr>
      <w:r>
        <w:t xml:space="preserve">Figures</w:t>
      </w:r>
    </w:p>
    <w:p>
      <w:pPr>
        <w:pStyle w:val="CaptionedFigure"/>
      </w:pPr>
      <w:r>
        <w:drawing>
          <wp:inline>
            <wp:extent cx="5334000" cy="2217505"/>
            <wp:effectExtent b="0" l="0" r="0" t="0"/>
            <wp:docPr descr="Figure 1" title="" id="30" name="Picture"/>
            <a:graphic>
              <a:graphicData uri="http://schemas.openxmlformats.org/drawingml/2006/picture">
                <pic:pic>
                  <pic:nvPicPr>
                    <pic:cNvPr descr="figs/method_schematic.png" id="31" name="Picture"/>
                    <pic:cNvPicPr>
                      <a:picLocks noChangeArrowheads="1" noChangeAspect="1"/>
                    </pic:cNvPicPr>
                  </pic:nvPicPr>
                  <pic:blipFill>
                    <a:blip r:embed="rId29"/>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 (a) verified coarse-to-fine wrapper (pyramid v2); (b) FOV-ladder protocol.</w:t>
      </w:r>
    </w:p>
    <w:p>
      <w:pPr>
        <w:pStyle w:val="CaptionedFigure"/>
      </w:pPr>
      <w:r>
        <w:drawing>
          <wp:inline>
            <wp:extent cx="5334000" cy="2667000"/>
            <wp:effectExtent b="0" l="0" r="0" t="0"/>
            <wp:docPr descr="Figure 2" title="" id="33" name="Picture"/>
            <a:graphic>
              <a:graphicData uri="http://schemas.openxmlformats.org/drawingml/2006/picture">
                <pic:pic>
                  <pic:nvPicPr>
                    <pic:cNvPr descr="figs/sr_bar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w:t>
      </w:r>
    </w:p>
    <w:p>
      <w:pPr>
        <w:pStyle w:val="CaptionedFigure"/>
      </w:pPr>
      <w:r>
        <w:drawing>
          <wp:inline>
            <wp:extent cx="5334000" cy="2667000"/>
            <wp:effectExtent b="0" l="0" r="0" t="0"/>
            <wp:docPr descr="Figure 3" title="" id="36" name="Picture"/>
            <a:graphic>
              <a:graphicData uri="http://schemas.openxmlformats.org/drawingml/2006/picture">
                <pic:pic>
                  <pic:nvPicPr>
                    <pic:cNvPr descr="figs/group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w:t>
      </w:r>
    </w:p>
    <w:p>
      <w:pPr>
        <w:pStyle w:val="CaptionedFigure"/>
      </w:pPr>
      <w:r>
        <w:drawing>
          <wp:inline>
            <wp:extent cx="5334000" cy="3200400"/>
            <wp:effectExtent b="0" l="0" r="0" t="0"/>
            <wp:docPr descr="Figure 4" title="" id="39" name="Picture"/>
            <a:graphic>
              <a:graphicData uri="http://schemas.openxmlformats.org/drawingml/2006/picture">
                <pic:pic>
                  <pic:nvPicPr>
                    <pic:cNvPr descr="figs/fov_curve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Success rate versus FOV stratum on native pairs.</w:t>
      </w:r>
    </w:p>
    <w:p>
      <w:pPr>
        <w:pStyle w:val="CaptionedFigure"/>
      </w:pPr>
      <w:r>
        <w:drawing>
          <wp:inline>
            <wp:extent cx="5334000" cy="2182090"/>
            <wp:effectExtent b="0" l="0" r="0" t="0"/>
            <wp:docPr descr="Figure 5" title="" id="42" name="Picture"/>
            <a:graphic>
              <a:graphicData uri="http://schemas.openxmlformats.org/drawingml/2006/picture">
                <pic:pic>
                  <pic:nvPicPr>
                    <pic:cNvPr descr="figs/fov_ladder.png" id="43" name="Picture"/>
                    <pic:cNvPicPr>
                      <a:picLocks noChangeArrowheads="1" noChangeAspect="1"/>
                    </pic:cNvPicPr>
                  </pic:nvPicPr>
                  <pic:blipFill>
                    <a:blip r:embed="rId41"/>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Controlled FOV ladder with appearance fixed.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2026-06-20T20:04:47Z</dcterms:created>
  <dcterms:modified xsi:type="dcterms:W3CDTF">2026-06-20T20:04:47Z</dcterms:modified>
</cp:coreProperties>
</file>

<file path=docProps/custom.xml><?xml version="1.0" encoding="utf-8"?>
<Properties xmlns="http://schemas.openxmlformats.org/officeDocument/2006/custom-properties" xmlns:vt="http://schemas.openxmlformats.org/officeDocument/2006/docPropsVTypes"/>
</file>