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1"/>
    <w:p>
      <w:pPr>
        <w:pStyle w:val="Heading1"/>
      </w:pPr>
      <w:r>
        <w:t xml:space="preserve">Response to Reviewer 1</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careful reading, and in particular for the two requests that most improved this manuscript: the retrospective CALPHAD analysis (comment 2) and the promotion of the abnormal-grain-growth result to a full section with figures (comment 4). Section and figure numbers below refer to the revised manuscript, which adds Secs. 2.6, 3.4 and 3.5, Figs. 7–9 and the post-AGG micrograph as Fig. 1d; the discussion cited as Sec. 4.3 is now Sec. 4.4.</w:t>
      </w:r>
    </w:p>
    <w:p>
      <w:r>
        <w:pict>
          <v:rect style="width:0;height:1.5pt" o:hralign="center" o:hrstd="t" o:hr="t"/>
        </w:pict>
      </w:r>
    </w:p>
    <w:p>
      <w:pPr>
        <w:pStyle w:val="FirstParagraph"/>
      </w:pPr>
      <w:r>
        <w:rPr>
          <w:b/>
          <w:bCs/>
        </w:rPr>
        <w:t xml:space="preserve">Comment 1.</w:t>
      </w:r>
      <w:r>
        <w:t xml:space="preserve"> </w:t>
      </w:r>
      <w:r>
        <w:rPr>
          <w:i/>
          <w:iCs/>
        </w:rPr>
        <w:t xml:space="preserve">The AI-designed alloy differs from the benchmark Omori alloy in multiple elemental concentrations simultaneously (Mn, Al, Ni, Si, and C are all varied). The authors attribute the failure of the AI-hypothesized composition primarily to its elevated carbon content and its destabilizing effect on the BCC parent phase. However, because this is a multi-variable compositional change, the specific role of carbon cannot be isolated. Without a designed control experiment—such as an AI-designed alloy variant without the 1000 ppm C addition—the assertion that</w:t>
      </w:r>
      <w:r>
        <w:rPr>
          <w:i/>
          <w:iCs/>
        </w:rPr>
        <w:t xml:space="preserve"> </w:t>
      </w:r>
      <w:r>
        <w:rPr>
          <w:i/>
          <w:iCs/>
        </w:rPr>
        <w:t xml:space="preserve">“carbon is the main culprit”</w:t>
      </w:r>
      <w:r>
        <w:rPr>
          <w:i/>
          <w:iCs/>
        </w:rPr>
        <w:t xml:space="preserve"> </w:t>
      </w:r>
      <w:r>
        <w:rPr>
          <w:i/>
          <w:iCs/>
        </w:rPr>
        <w:t xml:space="preserve">(as stated in the abstract and Section 4.1) remains speculative and insufficiently supported. The authors should either provide such a control or substantially temper their causal attribution, reframing the conclusion as a combined effect of the entire compositional modification.</w:t>
      </w:r>
    </w:p>
    <w:p>
      <w:pPr>
        <w:pStyle w:val="BodyText"/>
      </w:pPr>
      <w:r>
        <w:rPr>
          <w:b/>
          <w:bCs/>
        </w:rPr>
        <w:t xml:space="preserve">Response.</w:t>
      </w:r>
      <w:r>
        <w:t xml:space="preserve"> </w:t>
      </w:r>
      <w:r>
        <w:t xml:space="preserve">Agreed; the revision supplies the control and tempers the claim to it. Sec. 2.6 defines the control the Reviewer describes — the measured chemistry with carbon deleted — and Sec. 3.4 evaluates it beside both real alloys in three independently assessed databases, validated against the benchmark: with carbon the single-phase α field opens only at ≈1340 °C, above both the oxidation limit and calculated incipient melting; without it, at ≈1150 °C (Table 3,</w:t>
      </w:r>
      <w:r>
        <w:t xml:space="preserve"> </w:t>
      </w:r>
      <w:r>
        <w:rPr>
          <w:b/>
          <w:bCs/>
        </w:rPr>
        <w:t xml:space="preserve">Fig. 9c</w:t>
      </w:r>
      <w:r>
        <w:t xml:space="preserve">). A nickel scan from 4.2 to 7.8 at% does not move the solvus at all, so the benchmark’s nickel content would not have opened the window either. The claim is now the narrow one the control supports — carbon closes the α field</w:t>
      </w:r>
      <w:r>
        <w:t xml:space="preserve"> </w:t>
      </w:r>
      <w:r>
        <w:rPr>
          <w:i/>
          <w:iCs/>
        </w:rPr>
        <w:t xml:space="preserve">at the solution-treatment temperature</w:t>
      </w:r>
      <w:r>
        <w:t xml:space="preserve"> </w:t>
      </w:r>
      <w:r>
        <w:t xml:space="preserve">— with the limits in Sec. 4.2 and the carbon-free heat named as the direct experimental test.</w:t>
      </w:r>
    </w:p>
    <w:p>
      <w:pPr>
        <w:pStyle w:val="BodyText"/>
      </w:pPr>
      <w:r>
        <w:rPr>
          <w:b/>
          <w:bCs/>
        </w:rPr>
        <w:t xml:space="preserve">Comment 2.</w:t>
      </w:r>
      <w:r>
        <w:t xml:space="preserve"> </w:t>
      </w:r>
      <w:r>
        <w:rPr>
          <w:i/>
          <w:iCs/>
        </w:rPr>
        <w:t xml:space="preserve">The discussion of why the AI model failed (Section 4.3) is descriptive rather than diagnostic. The authors note that the model relied on thermodynamic and literature correlations, but they do not examine the model’s specific reasoning pathway that led to the proposed composition. Did the model predict a BCC single-phase microstructure? Did it account for the formation of the D03 Fe3Al phase? A retrospective analysis using CALPHAD thermodynamic calculations (even a simple equilibrium phase diagram calculation for both alloys) would add significant quantitative rigor to the claim that the AI-designed alloy has insufficient chemical driving force for stress-induced transformation. Without such analysis, the</w:t>
      </w:r>
      <w:r>
        <w:rPr>
          <w:i/>
          <w:iCs/>
        </w:rPr>
        <w:t xml:space="preserve"> </w:t>
      </w:r>
      <w:r>
        <w:rPr>
          <w:i/>
          <w:iCs/>
        </w:rPr>
        <w:t xml:space="preserve">“lessons learned”</w:t>
      </w:r>
      <w:r>
        <w:rPr>
          <w:i/>
          <w:iCs/>
        </w:rPr>
        <w:t xml:space="preserve"> </w:t>
      </w:r>
      <w:r>
        <w:rPr>
          <w:i/>
          <w:iCs/>
        </w:rPr>
        <w:t xml:space="preserve">for AI-guided design remain vague.</w:t>
      </w:r>
    </w:p>
    <w:p>
      <w:pPr>
        <w:pStyle w:val="BodyText"/>
      </w:pPr>
      <w:r>
        <w:rPr>
          <w:b/>
          <w:bCs/>
        </w:rPr>
        <w:t xml:space="preserve">Response.</w:t>
      </w:r>
      <w:r>
        <w:t xml:space="preserve"> </w:t>
      </w:r>
      <w:r>
        <w:t xml:space="preserve">Both parts are done. Secs. 2.6 and 3.4, Fig. 9 and Table 3 give equilibrium step diagrams for both alloys in three databases, and they sharpened the diagnosis in the direction the Reviewer’s wording anticipates: not a BCC parent with</w:t>
      </w:r>
      <w:r>
        <w:t xml:space="preserve"> </w:t>
      </w:r>
      <w:r>
        <w:rPr>
          <w:i/>
          <w:iCs/>
        </w:rPr>
        <w:t xml:space="preserve">insufficient driving force</w:t>
      </w:r>
      <w:r>
        <w:t xml:space="preserve">, but no accessible heat treatment that produces that parent at all. On the reasoning pathway, the agent’s 41-page report survives and is supplied as Supplementary Material, so both questions are answered from the document (Sec. 4.1): it did specify a BCC parent with coherent β precipitates and a 5–8% recoverable-strain target, but calculated no phase diagram and identified no solution-treatment window; and D0₃ and Fe₃Al appear nowhere in it, though it discusses κ-carbide ordering at length for a</w:t>
      </w:r>
      <w:r>
        <w:t xml:space="preserve"> </w:t>
      </w:r>
      <w:r>
        <w:rPr>
          <w:i/>
          <w:iCs/>
        </w:rPr>
        <w:t xml:space="preserve">different</w:t>
      </w:r>
      <w:r>
        <w:t xml:space="preserve"> </w:t>
      </w:r>
      <w:r>
        <w:t xml:space="preserve">candidate family. Sec. 4.4 is rewritten around what these give together — the only occurrence of CALPHAD in forty-one pages is the report’s own recommendation for future work.</w:t>
      </w:r>
    </w:p>
    <w:p>
      <w:pPr>
        <w:pStyle w:val="BodyText"/>
      </w:pPr>
      <w:r>
        <w:rPr>
          <w:b/>
          <w:bCs/>
        </w:rPr>
        <w:t xml:space="preserve">Comment 3.</w:t>
      </w:r>
      <w:r>
        <w:t xml:space="preserve"> </w:t>
      </w:r>
      <w:r>
        <w:rPr>
          <w:i/>
          <w:iCs/>
        </w:rPr>
        <w:t xml:space="preserve">The microstructural interpretation of the AI-designed alloy’s deformation mechanisms lacks mechanistic depth. The authors assert that the absence of super-elasticity is due to</w:t>
      </w:r>
      <w:r>
        <w:rPr>
          <w:i/>
          <w:iCs/>
        </w:rPr>
        <w:t xml:space="preserve"> </w:t>
      </w:r>
      <w:r>
        <w:rPr>
          <w:i/>
          <w:iCs/>
        </w:rPr>
        <w:t xml:space="preserve">“irreversible dislocation slip”</w:t>
      </w:r>
      <w:r>
        <w:rPr>
          <w:i/>
          <w:iCs/>
        </w:rPr>
        <w:t xml:space="preserve"> </w:t>
      </w:r>
      <w:r>
        <w:rPr>
          <w:i/>
          <w:iCs/>
        </w:rPr>
        <w:t xml:space="preserve">rather than phase transformation, but they do not explain why this duplex FCC/BCC structure (62% γ, 34% α) preferentially deforms by slip. Is it the morphology of the two phases (e.g., lamellar or blocky) that constrains transformation? Or does the D03 Fe3Al phase pin dislocations in a way that suppresses the martensitic start stress? The authors should provide a more detailed mechanistic rationale linking the observed two-phase microstructure to the suppression of the transformation pathway.</w:t>
      </w:r>
    </w:p>
    <w:p>
      <w:pPr>
        <w:pStyle w:val="BodyText"/>
      </w:pPr>
      <w:r>
        <w:rPr>
          <w:b/>
          <w:bCs/>
        </w:rPr>
        <w:t xml:space="preserve">Response.</w:t>
      </w:r>
      <w:r>
        <w:t xml:space="preserve"> </w:t>
      </w:r>
      <w:r>
        <w:t xml:space="preserve">Sec. 4.1 is substantially rewritten, and the calculations changed what the honest answer is. The parent is largely missing rather than reluctant: here the parent is BCC α and the martensite FCC γ — the reverse of the carbon-steel convention, now stated in Sec. 3.3 — so a structure that is ≈62% γ is mostly product phase already, and no accessible temperature produces single-phase α. The γ excess also points to a transformation that has already run, since calculation gives α-majority at 1200 °C while the quenched wire refines γ-majority, placing the martensite start above room temperature; calorimetry is named as the confirming experiment. On the Reviewer’s two alternatives: SEM/EDS (Fig. 1b) shows an interlocked duplex in which transforming the discrete α requires the majority γ to accommodate the shape strain, and γ yields at ≈520–675 MPa, so slip preempts it; and D0₃ at ≈4% is a bulk constituent, not a coherent dispersion, while coherent B2 is unavailable for the more basic reason that it requires quenching from a single-phase α field — which also accounts for the failure of the 200 °C/3 h age (Fig. 2h).</w:t>
      </w:r>
    </w:p>
    <w:p>
      <w:pPr>
        <w:pStyle w:val="BodyText"/>
      </w:pPr>
      <w:r>
        <w:rPr>
          <w:b/>
          <w:bCs/>
        </w:rPr>
        <w:t xml:space="preserve">Comment 4.</w:t>
      </w:r>
      <w:r>
        <w:t xml:space="preserve"> </w:t>
      </w:r>
      <w:r>
        <w:rPr>
          <w:i/>
          <w:iCs/>
        </w:rPr>
        <w:t xml:space="preserve">The manuscript claims that the AI-designed alloy did not exhibit abnormal grain growth (AGG) even under the cyclic heat treatment intended to produce a bamboo-like structure. This observation, however, is buried in a single sentence in Section 3.3. Given that AGG is a central requirement for achieving super-elasticity in this alloy family, the fact that the AI-designed alloy fails to undergo AGG is a second, independent mode of failure. The authors should elevate this point, explicitly present the microstructure after the AGG treatment (which is currently absent from the figures), and discuss how the multi-phase stability prevents grain boundary migration—this would strengthen the case that the AI design is fundamentally incompatible with the processing route.</w:t>
      </w:r>
    </w:p>
    <w:p>
      <w:pPr>
        <w:pStyle w:val="BodyText"/>
      </w:pPr>
      <w:r>
        <w:rPr>
          <w:b/>
          <w:bCs/>
        </w:rPr>
        <w:t xml:space="preserve">Response.</w:t>
      </w:r>
      <w:r>
        <w:t xml:space="preserve"> </w:t>
      </w:r>
      <w:r>
        <w:t xml:space="preserve">Agreed, and done: one sentence with no figure has become Sec. 3.5, with the microstructure now shown twice — Fig. 1d, a fine banded duplex across the whole section with no grain approaching the section width, and Fig. 8, whose resolution into discrete spots is the grain-size evidence in reciprocal space. On mechanism, growth is not absent but</w:t>
      </w:r>
      <w:r>
        <w:t xml:space="preserve"> </w:t>
      </w:r>
      <w:r>
        <w:rPr>
          <w:i/>
          <w:iCs/>
        </w:rPr>
        <w:t xml:space="preserve">arrested</w:t>
      </w:r>
      <w:r>
        <w:t xml:space="preserve">, and arrested at the second phase: a migrating boundary must drag or bypass a phase that no further time at temperature will remove, because the duplex state is the</w:t>
      </w:r>
      <w:r>
        <w:t xml:space="preserve"> </w:t>
      </w:r>
      <w:r>
        <w:rPr>
          <w:i/>
          <w:iCs/>
        </w:rPr>
        <w:t xml:space="preserve">equilibrium</w:t>
      </w:r>
      <w:r>
        <w:t xml:space="preserve"> </w:t>
      </w:r>
      <w:r>
        <w:t xml:space="preserve">state at 1200 °C (Sec. 3.4). The benchmark, single-phase α there, has nothing to pin a boundary; Sec. 3.5 adds two reinforcing mechanisms of the same origin, transformation interfaces created on every cycle and solute drag from the partitioning each crossing entails.</w:t>
      </w:r>
    </w:p>
    <w:p>
      <w:pPr>
        <w:pStyle w:val="BodyText"/>
      </w:pPr>
      <w:r>
        <w:t xml:space="preserve">We would respectfully qualify the framing on two points. The revision no longer says the alloy</w:t>
      </w:r>
      <w:r>
        <w:t xml:space="preserve"> </w:t>
      </w:r>
      <w:r>
        <w:t xml:space="preserve">“did not exhibit AGG”</w:t>
      </w:r>
      <w:r>
        <w:t xml:space="preserve"> </w:t>
      </w:r>
      <w:r>
        <w:t xml:space="preserve">— it does coarsen; what it does not form is</w:t>
      </w:r>
      <w:r>
        <w:t xml:space="preserve"> </w:t>
      </w:r>
      <w:r>
        <w:rPr>
          <w:i/>
          <w:iCs/>
        </w:rPr>
        <w:t xml:space="preserve">bamboo</w:t>
      </w:r>
      <w:r>
        <w:t xml:space="preserve">, and Sec. 3.5 separates grain size from grain span throughout. And we do not read this as a second, independent failure mode: bamboo does not confer a transformation, it removes the constraint that limits one, as our own data show — the non-bamboo benchmark of Fig. 3b still recovers ≈0.5% on heating, an order of magnitude below the structure that optimises it, while the LLM-alloy shows nothing in any condition at any grain size. There is nothing here for bamboo to multiply, and coarsening embrittles this alloy besides (elongation 11.0% → 1.4%), so the route would cost its ductility first. Both failures trace to the same duplex constitution: one diagnosis, not two.</w:t>
      </w:r>
    </w:p>
    <w:p>
      <w:pPr>
        <w:pStyle w:val="BodyText"/>
      </w:pPr>
      <w:r>
        <w:rPr>
          <w:b/>
          <w:bCs/>
        </w:rPr>
        <w:t xml:space="preserve">Comment 5.</w:t>
      </w:r>
      <w:r>
        <w:t xml:space="preserve"> </w:t>
      </w:r>
      <w:r>
        <w:rPr>
          <w:i/>
          <w:iCs/>
        </w:rPr>
        <w:t xml:space="preserve">The terminology used throughout the manuscript—specifically</w:t>
      </w:r>
      <w:r>
        <w:rPr>
          <w:i/>
          <w:iCs/>
        </w:rPr>
        <w:t xml:space="preserve"> </w:t>
      </w:r>
      <w:r>
        <w:rPr>
          <w:i/>
          <w:iCs/>
        </w:rPr>
        <w:t xml:space="preserve">“Al-alloy”</w:t>
      </w:r>
      <w:r>
        <w:rPr>
          <w:i/>
          <w:iCs/>
        </w:rPr>
        <w:t xml:space="preserve"> </w:t>
      </w:r>
      <w:r>
        <w:rPr>
          <w:i/>
          <w:iCs/>
        </w:rPr>
        <w:t xml:space="preserve">and</w:t>
      </w:r>
      <w:r>
        <w:rPr>
          <w:i/>
          <w:iCs/>
        </w:rPr>
        <w:t xml:space="preserve"> </w:t>
      </w:r>
      <w:r>
        <w:rPr>
          <w:i/>
          <w:iCs/>
        </w:rPr>
        <w:t xml:space="preserve">“Al-hypothesized”</w:t>
      </w:r>
      <w:r>
        <w:rPr>
          <w:i/>
          <w:iCs/>
        </w:rPr>
        <w:t xml:space="preserve">—is problematic because</w:t>
      </w:r>
      <w:r>
        <w:rPr>
          <w:i/>
          <w:iCs/>
        </w:rPr>
        <w:t xml:space="preserve"> </w:t>
      </w:r>
      <w:r>
        <w:rPr>
          <w:i/>
          <w:iCs/>
        </w:rPr>
        <w:t xml:space="preserve">“Al”</w:t>
      </w:r>
      <w:r>
        <w:rPr>
          <w:i/>
          <w:iCs/>
        </w:rPr>
        <w:t xml:space="preserve"> </w:t>
      </w:r>
      <w:r>
        <w:rPr>
          <w:i/>
          <w:iCs/>
        </w:rPr>
        <w:t xml:space="preserve">is also the chemical symbol for aluminum, which is a major constituent of the alloy under study (~6 wt.%). This ambiguity is confusing and detracts from readability. The authors should replace</w:t>
      </w:r>
      <w:r>
        <w:rPr>
          <w:i/>
          <w:iCs/>
        </w:rPr>
        <w:t xml:space="preserve"> </w:t>
      </w:r>
      <w:r>
        <w:rPr>
          <w:i/>
          <w:iCs/>
        </w:rPr>
        <w:t xml:space="preserve">“Al”</w:t>
      </w:r>
      <w:r>
        <w:rPr>
          <w:i/>
          <w:iCs/>
        </w:rPr>
        <w:t xml:space="preserve"> </w:t>
      </w:r>
      <w:r>
        <w:rPr>
          <w:i/>
          <w:iCs/>
        </w:rPr>
        <w:t xml:space="preserve">with</w:t>
      </w:r>
      <w:r>
        <w:rPr>
          <w:i/>
          <w:iCs/>
        </w:rPr>
        <w:t xml:space="preserve"> </w:t>
      </w:r>
      <w:r>
        <w:rPr>
          <w:i/>
          <w:iCs/>
        </w:rPr>
        <w:t xml:space="preserve">“AI”</w:t>
      </w:r>
      <w:r>
        <w:rPr>
          <w:i/>
          <w:iCs/>
        </w:rPr>
        <w:t xml:space="preserve"> </w:t>
      </w:r>
      <w:r>
        <w:rPr>
          <w:i/>
          <w:iCs/>
        </w:rPr>
        <w:t xml:space="preserve">(artificial intelligence) or</w:t>
      </w:r>
      <w:r>
        <w:rPr>
          <w:i/>
          <w:iCs/>
        </w:rPr>
        <w:t xml:space="preserve"> </w:t>
      </w:r>
      <w:r>
        <w:rPr>
          <w:i/>
          <w:iCs/>
        </w:rPr>
        <w:t xml:space="preserve">“AI-designed”</w:t>
      </w:r>
      <w:r>
        <w:rPr>
          <w:i/>
          <w:iCs/>
        </w:rPr>
        <w:t xml:space="preserve"> </w:t>
      </w:r>
      <w:r>
        <w:rPr>
          <w:i/>
          <w:iCs/>
        </w:rPr>
        <w:t xml:space="preserve">in all instances, including the title, abstract, and keywords, to clearly distinguish the alloy designation from elemental aluminum.</w:t>
      </w:r>
    </w:p>
    <w:p>
      <w:pPr>
        <w:pStyle w:val="BodyText"/>
      </w:pPr>
      <w:r>
        <w:rPr>
          <w:b/>
          <w:bCs/>
        </w:rPr>
        <w:t xml:space="preserve">Response.</w:t>
      </w:r>
      <w:r>
        <w:t xml:space="preserve"> </w:t>
      </w:r>
      <w:r>
        <w:t xml:space="preserve">The submitted file reads</w:t>
      </w:r>
      <w:r>
        <w:t xml:space="preserve"> </w:t>
      </w:r>
      <w:r>
        <w:t xml:space="preserve">“AI”</w:t>
      </w:r>
      <w:r>
        <w:t xml:space="preserve"> </w:t>
      </w:r>
      <w:r>
        <w:t xml:space="preserve">(capital A, capital I) in every instance; what the Reviewer encountered is the typeface of the review rendering, in which capital</w:t>
      </w:r>
      <w:r>
        <w:t xml:space="preserve"> </w:t>
      </w:r>
      <w:r>
        <w:t xml:space="preserve">“I”</w:t>
      </w:r>
      <w:r>
        <w:t xml:space="preserve"> </w:t>
      </w:r>
      <w:r>
        <w:t xml:space="preserve">and lowercase</w:t>
      </w:r>
      <w:r>
        <w:t xml:space="preserve"> </w:t>
      </w:r>
      <w:r>
        <w:t xml:space="preserve">“l”</w:t>
      </w:r>
      <w:r>
        <w:t xml:space="preserve"> </w:t>
      </w:r>
      <w:r>
        <w:t xml:space="preserve">share a glyph. The ambiguity is nonetheless real — in a paper about an Fe-Mn-</w:t>
      </w:r>
      <w:r>
        <w:rPr>
          <w:b/>
          <w:bCs/>
        </w:rPr>
        <w:t xml:space="preserve">Al</w:t>
      </w:r>
      <w:r>
        <w:t xml:space="preserve"> </w:t>
      </w:r>
      <w:r>
        <w:t xml:space="preserve">alloy, a designation that can be</w:t>
      </w:r>
      <w:r>
        <w:t xml:space="preserve"> </w:t>
      </w:r>
      <w:r>
        <w:rPr>
          <w:i/>
          <w:iCs/>
        </w:rPr>
        <w:t xml:space="preserve">read</w:t>
      </w:r>
      <w:r>
        <w:t xml:space="preserve"> </w:t>
      </w:r>
      <w:r>
        <w:t xml:space="preserve">as</w:t>
      </w:r>
      <w:r>
        <w:t xml:space="preserve"> </w:t>
      </w:r>
      <w:r>
        <w:t xml:space="preserve">“Al-alloy”</w:t>
      </w:r>
      <w:r>
        <w:t xml:space="preserve"> </w:t>
      </w:r>
      <w:r>
        <w:t xml:space="preserve">is a defect regardless of what the file contains. We have therefore gone further than the letter of the comment: the test alloy is now the</w:t>
      </w:r>
      <w:r>
        <w:t xml:space="preserve"> </w:t>
      </w:r>
      <w:r>
        <w:rPr>
          <w:b/>
          <w:bCs/>
        </w:rPr>
        <w:t xml:space="preserve">LLM-alloy</w:t>
      </w:r>
      <w:r>
        <w:t xml:space="preserve"> </w:t>
      </w:r>
      <w:r>
        <w:t xml:space="preserve">and the reference the</w:t>
      </w:r>
      <w:r>
        <w:t xml:space="preserve"> </w:t>
      </w:r>
      <w:r>
        <w:rPr>
          <w:b/>
          <w:bCs/>
        </w:rPr>
        <w:t xml:space="preserve">benchmark alloy</w:t>
      </w:r>
      <w:r>
        <w:t xml:space="preserve"> </w:t>
      </w:r>
      <w:r>
        <w:t xml:space="preserve">throughout, with</w:t>
      </w:r>
      <w:r>
        <w:t xml:space="preserve"> </w:t>
      </w:r>
      <w:r>
        <w:t xml:space="preserve">“AI-guided”</w:t>
      </w:r>
      <w:r>
        <w:t xml:space="preserve"> </w:t>
      </w:r>
      <w:r>
        <w:t xml:space="preserve">reserved for the field in general, as in the keywords.</w:t>
      </w:r>
    </w:p>
    <w:p>
      <w:pPr>
        <w:pStyle w:val="BodyText"/>
      </w:pPr>
      <w:r>
        <w:rPr>
          <w:b/>
          <w:bCs/>
        </w:rPr>
        <w:t xml:space="preserve">Comment 6.</w:t>
      </w:r>
      <w:r>
        <w:t xml:space="preserve"> </w:t>
      </w:r>
      <w:r>
        <w:rPr>
          <w:i/>
          <w:iCs/>
        </w:rPr>
        <w:t xml:space="preserve">In Section 2.1, the authors state that Si was added for solid-solution strengthening and to influence stacking-fault energy. However, this rationale is not revisited in the Discussion. The authors should either provide a more detailed justification for the Si addition or acknowledge in hindsight that Si may have contributed to the phase-stability imbalance.</w:t>
      </w:r>
    </w:p>
    <w:p>
      <w:pPr>
        <w:pStyle w:val="BodyText"/>
      </w:pPr>
      <w:r>
        <w:rPr>
          <w:b/>
          <w:bCs/>
        </w:rPr>
        <w:t xml:space="preserve">Response.</w:t>
      </w:r>
      <w:r>
        <w:t xml:space="preserve"> </w:t>
      </w:r>
      <w:r>
        <w:t xml:space="preserve">Correct that silicon was introduced in the Methods and never revisited; Sec. 4.2 now returns to it. What silicon did</w:t>
      </w:r>
      <w:r>
        <w:t xml:space="preserve"> </w:t>
      </w:r>
      <w:r>
        <w:rPr>
          <w:i/>
          <w:iCs/>
        </w:rPr>
        <w:t xml:space="preserve">not</w:t>
      </w:r>
      <w:r>
        <w:t xml:space="preserve"> </w:t>
      </w:r>
      <w:r>
        <w:t xml:space="preserve">do: as a ferrite stabilizer it cannot have caused the γ-stability imbalance, the carbon-free control holds Si at its measured level and still returns 100% α at 1200 °C, and at half its intended level it cannot have delivered the strengthening it was specified for either. What it may have done is the hindsight acknowledgement asked for: Heo et al. (</w:t>
      </w:r>
      <w:r>
        <w:rPr>
          <w:i/>
          <w:iCs/>
        </w:rPr>
        <w:t xml:space="preserve">Metall. Mater. Trans. A</w:t>
      </w:r>
      <w:r>
        <w:t xml:space="preserve"> </w:t>
      </w:r>
      <w:r>
        <w:t xml:space="preserve">43 (2012) 1731) found Si promoting (Fe,Mn)₅(Si,Al)C together with D0₃ ordering in the ferrite — D0₃ being the ordered phase we observe — so an addition the design treated purely as a strengthener has a documented second role as a promoter of the very ordering product found, which the reasoning that proposed it did not engage with. With two heats we cannot separate a silicon contribution to that ordering from an iron-aluminum one, and do not claim it.</w:t>
      </w:r>
    </w:p>
    <w:p>
      <w:pPr>
        <w:pStyle w:val="BodyText"/>
      </w:pPr>
      <w:r>
        <w:rPr>
          <w:b/>
          <w:bCs/>
        </w:rPr>
        <w:t xml:space="preserve">Comment 7.</w:t>
      </w:r>
      <w:r>
        <w:t xml:space="preserve"> </w:t>
      </w:r>
      <w:r>
        <w:rPr>
          <w:i/>
          <w:iCs/>
        </w:rPr>
        <w:t xml:space="preserve">The mechanical testing section (Section 2.4) describes the heating stage for the shape-memory effect test as</w:t>
      </w:r>
      <w:r>
        <w:rPr>
          <w:i/>
          <w:iCs/>
        </w:rPr>
        <w:t xml:space="preserve"> </w:t>
      </w:r>
      <w:r>
        <w:rPr>
          <w:i/>
          <w:iCs/>
        </w:rPr>
        <w:t xml:space="preserve">“to ≈200°C,”</w:t>
      </w:r>
      <w:r>
        <w:rPr>
          <w:i/>
          <w:iCs/>
        </w:rPr>
        <w:t xml:space="preserve"> </w:t>
      </w:r>
      <w:r>
        <w:rPr>
          <w:i/>
          <w:iCs/>
        </w:rPr>
        <w:t xml:space="preserve">but the heating rate and holding time are not specified. These details are critical for assessing whether the reverse transformation was fully triggered. The authors should provide this information.</w:t>
      </w:r>
    </w:p>
    <w:p>
      <w:pPr>
        <w:pStyle w:val="BodyText"/>
      </w:pPr>
      <w:r>
        <w:rPr>
          <w:b/>
          <w:bCs/>
        </w:rPr>
        <w:t xml:space="preserve">Response.</w:t>
      </w:r>
      <w:r>
        <w:t xml:space="preserve"> </w:t>
      </w:r>
      <w:r>
        <w:t xml:space="preserve">Added to Sec. 2.4: heated to ≈200 °C at ≈50 °C s⁻¹, held ≈10 s. At 0.36 mm the section reaches temperature in a fraction of that hold. Sec. 2.4 also now states that the specimen was unloaded to zero stress and the crosshead returned to zero strain before heating. The same protocol resolved 0.5% recovery in the benchmark (Fig. 3b) — the internal evidence that the heating stage sufficed where retained martensite existed.</w:t>
      </w:r>
    </w:p>
    <w:p>
      <w:pPr>
        <w:pStyle w:val="BodyText"/>
      </w:pPr>
      <w:r>
        <w:rPr>
          <w:b/>
          <w:bCs/>
        </w:rPr>
        <w:t xml:space="preserve">Comment 8.</w:t>
      </w:r>
      <w:r>
        <w:t xml:space="preserve"> </w:t>
      </w:r>
      <w:r>
        <w:rPr>
          <w:i/>
          <w:iCs/>
        </w:rPr>
        <w:t xml:space="preserve">In Table 1, the Omori-alloy contains an unexpected 0.06 wt.% phosphorus, and the authors note the source is unknown. While this may not affect the main conclusions, the authors should discuss whether this unintentional impurity could have influenced the mechanical behavior of the benchmark alloy (e.g., by grain-boundary embrittlement) and whether it complicates the direct comparison with the AI-designed alloy.</w:t>
      </w:r>
    </w:p>
    <w:p>
      <w:pPr>
        <w:pStyle w:val="BodyText"/>
      </w:pPr>
      <w:r>
        <w:rPr>
          <w:b/>
          <w:bCs/>
        </w:rPr>
        <w:t xml:space="preserve">Response.</w:t>
      </w:r>
      <w:r>
        <w:t xml:space="preserve"> </w:t>
      </w:r>
      <w:r>
        <w:t xml:space="preserve">Sec. 2.1 now discusses this. At 0.06 wt% (≈0.10 at%) the phosphorus is below the level at which grain-boundary embrittlement is normally reported in Fe-Mn austenitic and duplex alloys, and the benchmark showed both good ductility and a clear stress-induced transformation. Any effect it did have could only have</w:t>
      </w:r>
      <w:r>
        <w:t xml:space="preserve"> </w:t>
      </w:r>
      <w:r>
        <w:rPr>
          <w:i/>
          <w:iCs/>
        </w:rPr>
        <w:t xml:space="preserve">degraded</w:t>
      </w:r>
      <w:r>
        <w:t xml:space="preserve"> </w:t>
      </w:r>
      <w:r>
        <w:t xml:space="preserve">the benchmark, and the comparison runs</w:t>
      </w:r>
      <w:r>
        <w:t xml:space="preserve"> </w:t>
      </w:r>
      <w:r>
        <w:t xml:space="preserve">“benchmark transforms, LLM-alloy does not”</w:t>
      </w:r>
      <w:r>
        <w:t xml:space="preserve"> </w:t>
      </w:r>
      <w:r>
        <w:t xml:space="preserve">— so the impurity makes that comparison conservative rather than confounded. A residual from the commercial melting stock is the most plausible origin, stated as unconfirmed.</w:t>
      </w:r>
    </w:p>
    <w:p>
      <w:pPr>
        <w:pStyle w:val="BodyText"/>
      </w:pPr>
      <w:r>
        <w:rPr>
          <w:b/>
          <w:bCs/>
        </w:rPr>
        <w:t xml:space="preserve">Comment 9.</w:t>
      </w:r>
      <w:r>
        <w:t xml:space="preserve"> </w:t>
      </w:r>
      <w:r>
        <w:rPr>
          <w:i/>
          <w:iCs/>
        </w:rPr>
        <w:t xml:space="preserve">The peak elongation of the AI-designed alloy (≈33% at 1000°C) is remarkably high for a duplex alloy. While this is not central to the main conclusion, the authors could briefly comment on whether this ductility is exceptional and whether it suggests any potential for structural applications despite the lack of shape-memory functionality.</w:t>
      </w:r>
    </w:p>
    <w:p>
      <w:pPr>
        <w:pStyle w:val="BodyText"/>
      </w:pPr>
      <w:r>
        <w:rPr>
          <w:b/>
          <w:bCs/>
        </w:rPr>
        <w:t xml:space="preserve">Response.</w:t>
      </w:r>
      <w:r>
        <w:t xml:space="preserve"> </w:t>
      </w:r>
      <w:r>
        <w:t xml:space="preserve">Added at the end of Sec. 4.3, and the honest answer — respectable rather than exceptional — is itself informative. The Ni-alloyed Fe-Mn-Al-C low-density steels whose compositional field this alloy occupies span σ₀.₂ ≈500–940 MPa, UTS ≈710–1020 MPa and elongation 8–78% (Rahnama et al.,</w:t>
      </w:r>
      <w:r>
        <w:t xml:space="preserve"> </w:t>
      </w:r>
      <w:r>
        <w:rPr>
          <w:i/>
          <w:iCs/>
        </w:rPr>
        <w:t xml:space="preserve">Acta Mater.</w:t>
      </w:r>
      <w:r>
        <w:t xml:space="preserve"> </w:t>
      </w:r>
      <w:r>
        <w:t xml:space="preserve">132 (2017) 627), and the 1000–1200 °C conditions of Table 2 sit inside that envelope on all three measures. The revision therefore frames the alloy as the question suggests: a serviceable structural metal that was hypothesized to be a shape-memory alloy and is not one — an unoptimized member of the low-density-steel family rather than a failed member of the shape-memory family.</w:t>
      </w:r>
    </w:p>
    <w:p>
      <w:r>
        <w:pict>
          <v:rect style="width:0;height:1.5pt" o:hralign="center" o:hrstd="t" o:hr="t"/>
        </w:pict>
      </w:r>
    </w:p>
    <w:p>
      <w:pPr>
        <w:pStyle w:val="FirstParagraph"/>
      </w:pPr>
      <w:r>
        <w:t xml:space="preserve">We thank the Reviewer again: the two central requests — the thermodynamic calculation and the elevation of the AGG result — did the most of any comments we received to strengthen the manuscript.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2026-08-21T15:42:15Z</dcterms:created>
  <dcterms:modified xsi:type="dcterms:W3CDTF">2026-08-21T15:42:15Z</dcterms:modified>
</cp:coreProperties>
</file>

<file path=docProps/custom.xml><?xml version="1.0" encoding="utf-8"?>
<Properties xmlns="http://schemas.openxmlformats.org/officeDocument/2006/custom-properties" xmlns:vt="http://schemas.openxmlformats.org/officeDocument/2006/docPropsVTypes"/>
</file>