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3"/>
    <w:p>
      <w:pPr>
        <w:pStyle w:val="Heading1"/>
      </w:pPr>
      <w:r>
        <w:t xml:space="preserve">Response to Reviewer 3</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the most demanding review this manuscript received, and we found it fair. Its four themes — that</w:t>
      </w:r>
      <w:r>
        <w:t xml:space="preserve"> </w:t>
      </w:r>
      <w:r>
        <w:t xml:space="preserve">“identical processing”</w:t>
      </w:r>
      <w:r>
        <w:t xml:space="preserve"> </w:t>
      </w:r>
      <w:r>
        <w:t xml:space="preserve">does not license a composition-only comparison, that this composition sits in the lightweight-steel literature, that the AGG treatment did not enter the evidence chain, and that several mechanistic statements outran their evidence — are all correct, and the revision concedes each and rebuilds the affected sections. It also adds the analysis we believe answers the underlying objection: three-database equilibrium CALPHAD calculations (Secs. 2.6 and 3.4, Fig. 9, Table 3), validated against the benchmark. Section and figure numbers refer to the revised manuscript, in which Secs. 2.6, 3.4, 3.5 and Figs. 7–9 are new, so the Discussion sections cited as 4.2 and 4.3 are now 4.3 and 4.4; the alloys are renamed the</w:t>
      </w:r>
      <w:r>
        <w:t xml:space="preserve"> </w:t>
      </w:r>
      <w:r>
        <w:t xml:space="preserve">“LLM-alloy”</w:t>
      </w:r>
      <w:r>
        <w:t xml:space="preserve"> </w:t>
      </w:r>
      <w:r>
        <w:t xml:space="preserve">and the</w:t>
      </w:r>
      <w:r>
        <w:t xml:space="preserve"> </w:t>
      </w:r>
      <w:r>
        <w:t xml:space="preserve">“benchmark alloy”</w:t>
      </w:r>
      <w:r>
        <w:t xml:space="preserve"> </w:t>
      </w:r>
      <w:r>
        <w:t xml:space="preserve">throughout.</w:t>
      </w:r>
    </w:p>
    <w:p>
      <w:r>
        <w:pict>
          <v:rect style="width:0;height:1.5pt" o:hralign="center" o:hrstd="t" o:hr="t"/>
        </w:pict>
      </w:r>
    </w:p>
    <w:p>
      <w:pPr>
        <w:pStyle w:val="FirstParagraph"/>
      </w:pPr>
      <w:r>
        <w:rPr>
          <w:b/>
          <w:bCs/>
        </w:rPr>
        <w:t xml:space="preserve">Comment 1.</w:t>
      </w:r>
      <w:r>
        <w:t xml:space="preserve"> </w:t>
      </w:r>
      <w:r>
        <w:rPr>
          <w:i/>
          <w:iCs/>
        </w:rPr>
        <w:t xml:space="preserve">The statement at the end of the Introduction that</w:t>
      </w:r>
      <w:r>
        <w:rPr>
          <w:i/>
          <w:iCs/>
        </w:rPr>
        <w:t xml:space="preserve"> </w:t>
      </w:r>
      <w:r>
        <w:rPr>
          <w:i/>
          <w:iCs/>
        </w:rPr>
        <w:t xml:space="preserve">“because the processing history was kept identical for both alloys, compositional differences are the sole variable determining the final mechanical properties”</w:t>
      </w:r>
      <w:r>
        <w:rPr>
          <w:i/>
          <w:iCs/>
        </w:rPr>
        <w:t xml:space="preserve"> </w:t>
      </w:r>
      <w:r>
        <w:rPr>
          <w:i/>
          <w:iCs/>
        </w:rPr>
        <w:t xml:space="preserve">is not valid from a materials-science perspective. It is not meaningful to compare the superelastic differences between the AI alloy and the Omori alloy solely by applying the same processing route, because identical external processing parameters do not mean that the two compositions achieve the same degree of recrystallization, grain size, grain orientation, texture, phase constitution, dislocation density, and precipitation state. The manuscript may state that the two alloys were subjected to the same nominal processing parameters, but further justification is required before the final performance differences can be attributed solely to chemical composition.</w:t>
      </w:r>
    </w:p>
    <w:p>
      <w:pPr>
        <w:pStyle w:val="BodyText"/>
      </w:pPr>
      <w:r>
        <w:rPr>
          <w:b/>
          <w:bCs/>
        </w:rPr>
        <w:t xml:space="preserve">Response.</w:t>
      </w:r>
      <w:r>
        <w:t xml:space="preserve"> </w:t>
      </w:r>
      <w:r>
        <w:t xml:space="preserve">The Reviewer is right and the sentence is deleted; Sec. 1 now states the defensible form — the alloys were put through the same</w:t>
      </w:r>
      <w:r>
        <w:t xml:space="preserve"> </w:t>
      </w:r>
      <w:r>
        <w:rPr>
          <w:i/>
          <w:iCs/>
        </w:rPr>
        <w:t xml:space="preserve">nominal</w:t>
      </w:r>
      <w:r>
        <w:t xml:space="preserve"> </w:t>
      </w:r>
      <w:r>
        <w:t xml:space="preserve">route, which in two different compositions guarantees nothing about recrystallization, grain size, texture or precipitation state, so what follows compares how each responds to a common route rather than isolating composition. Two things supply the further justification asked for. Sec. 4.1 makes explicit the one respect in which the alloys were</w:t>
      </w:r>
      <w:r>
        <w:t xml:space="preserve"> </w:t>
      </w:r>
      <w:r>
        <w:rPr>
          <w:i/>
          <w:iCs/>
        </w:rPr>
        <w:t xml:space="preserve">not</w:t>
      </w:r>
      <w:r>
        <w:t xml:space="preserve"> </w:t>
      </w:r>
      <w:r>
        <w:t xml:space="preserve">treated identically, because it runs against the concern rather than with it — the LLM-alloy received the 200 °C/3 h age reported to develop pseudo-elasticity in this family and showed no response whatever (Fig. 2h), while the benchmark received no age at all and still showed reverse transformation on heating — and the attribution to composition no longer rests on the two-heat comparison at all, since Sec. 3.4 shows there is no single-phase α field at any temperature this alloy’s processing can reach.</w:t>
      </w:r>
    </w:p>
    <w:p>
      <w:pPr>
        <w:pStyle w:val="BodyText"/>
      </w:pPr>
      <w:r>
        <w:rPr>
          <w:b/>
          <w:bCs/>
        </w:rPr>
        <w:t xml:space="preserve">Comment 2.</w:t>
      </w:r>
      <w:r>
        <w:t xml:space="preserve"> </w:t>
      </w:r>
      <w:r>
        <w:rPr>
          <w:i/>
          <w:iCs/>
        </w:rPr>
        <w:t xml:space="preserve">The basis for designing the candidate composition in Section 2.1 is questionable. Fe-Mn-Al-C, Fe-Mn-Al-Ni-C, and Fe-Mn-Al-Si-C systems with compositions similar to that studied here have mainly been investigated in the literature as low-density or lightweight structural steels. Their B2, DO3, and carbide phases are generally used to improve strength and ductility rather than to produce a reversible martensitic transformation. For example, Rahnama et al. investigated the effect of the B2 phase on the microstructure and mechanical properties of Ni-alloyed Fe-Mn-Al-C lightweight steels (Acta Materialia 132 (2017) 627–643); Saha et al. reported that NiAl-type nanoscale B2 precipitates are mainly located in the BCC regions of low-density Fe-Mn-Al-C steels (JOM 74 (2022) 3181–3190); and Heo et al. showed that Si can promote the formation of DO3 ordered phases and complex carbides in Fe-Mn-Al-C steels (Metallurgical and Materials Transactions A 43 (2012) 1731–1735). The authors should clearly explain why this alloy composition was selected for investigation and, given that many similar compositions mainly exhibit the microstructures and deformation behavior of lightweight steels, why this composition was expected to show room-temperature superelasticity.</w:t>
      </w:r>
    </w:p>
    <w:p>
      <w:pPr>
        <w:pStyle w:val="BodyText"/>
      </w:pPr>
      <w:r>
        <w:rPr>
          <w:b/>
          <w:bCs/>
        </w:rPr>
        <w:t xml:space="preserve">Response.</w:t>
      </w:r>
      <w:r>
        <w:t xml:space="preserve"> </w:t>
      </w:r>
      <w:r>
        <w:t xml:space="preserve">This is the strongest scientific comment we received, and the revision adopts it as part of the paper’s interpretation; all three supplied references are now cited and used. Sec. 2.1 documents the composition’s provenance — Hypothesis A2 of the agent’s report, supplied in its 41-page entirety as Supplementary Material — and Sec. 1 states that hypothesis in the agent’s own terms so the reader sees what is under test.</w:t>
      </w:r>
    </w:p>
    <w:p>
      <w:pPr>
        <w:pStyle w:val="BodyText"/>
      </w:pPr>
      <w:r>
        <w:t xml:space="preserve">On why it was</w:t>
      </w:r>
      <w:r>
        <w:t xml:space="preserve"> </w:t>
      </w:r>
      <w:r>
        <w:rPr>
          <w:i/>
          <w:iCs/>
        </w:rPr>
        <w:t xml:space="preserve">expected</w:t>
      </w:r>
      <w:r>
        <w:t xml:space="preserve"> </w:t>
      </w:r>
      <w:r>
        <w:t xml:space="preserve">to be superelastic, the honest answer is now given: the agent reasoned from the shape-memory literature and did not engage with the lightweight-steel literature its composition actually lands in. Sec. 2.1 states the overlap at first introduction — essentially the same Ni-Al pairing at essentially the same Ni level as Rahnama’s and Saha’s compositions, differing chiefly in about twice the manganese and an eighth of the carbon — and Sec. 4.2 develops the comparison: the two families form the same ordered phases but put them to opposite purposes, coherent B2 within a single-phase α parent letting a transformation outrun plasticity in one, the same precipitates serving as strengtheners in a structure never intended to transform in the other. Judged against the second family this alloy is neither anomalous nor a failure; the failure lies in the expectation attached to it. What the Reviewer identified as a questionable design basis is, examined closely, the paper’s clearest finding — the agent proposed a lightweight-steel composition while believing it was proposing a shape-memory alloy.</w:t>
      </w:r>
    </w:p>
    <w:p>
      <w:pPr>
        <w:pStyle w:val="BodyText"/>
      </w:pPr>
      <w:r>
        <w:rPr>
          <w:b/>
          <w:bCs/>
        </w:rPr>
        <w:t xml:space="preserve">Comment 3.</w:t>
      </w:r>
      <w:r>
        <w:t xml:space="preserve"> </w:t>
      </w:r>
      <w:r>
        <w:rPr>
          <w:i/>
          <w:iCs/>
        </w:rPr>
        <w:t xml:space="preserve">Table 1 shows that the actual Si content of the AI alloy is 1.11 wt.%, whereas the nominal content is 2.2 wt.%; the actual value is approximately half of the designed value. Considering that Si is intended by the authors to strengthen the matrix and regulate phase stability and precipitate formation, this deviation cannot be described as</w:t>
      </w:r>
      <w:r>
        <w:rPr>
          <w:i/>
          <w:iCs/>
        </w:rPr>
        <w:t xml:space="preserve"> </w:t>
      </w:r>
      <w:r>
        <w:rPr>
          <w:i/>
          <w:iCs/>
        </w:rPr>
        <w:t xml:space="preserve">“very close to the nominal values.”</w:t>
      </w:r>
      <w:r>
        <w:rPr>
          <w:i/>
          <w:iCs/>
        </w:rPr>
        <w:t xml:space="preserve"> </w:t>
      </w:r>
      <w:r>
        <w:rPr>
          <w:i/>
          <w:iCs/>
        </w:rPr>
        <w:t xml:space="preserve">Strictly speaking, the claimed nominal composition requires further verification in this study.</w:t>
      </w:r>
    </w:p>
    <w:p>
      <w:pPr>
        <w:pStyle w:val="BodyText"/>
      </w:pPr>
      <w:r>
        <w:rPr>
          <w:b/>
          <w:bCs/>
        </w:rPr>
        <w:t xml:space="preserve">Response.</w:t>
      </w:r>
      <w:r>
        <w:t xml:space="preserve"> </w:t>
      </w:r>
      <w:r>
        <w:t xml:space="preserve">Correct, and the phrase is deleted. Sec. 2.1 now reports the deviation quantitatively — silicon recovered at ≈50% of intent, consistent with oxidation loss during vacuum induction melting — and the LLM-alloy is identified by its</w:t>
      </w:r>
      <w:r>
        <w:t xml:space="preserve"> </w:t>
      </w:r>
      <w:r>
        <w:rPr>
          <w:i/>
          <w:iCs/>
        </w:rPr>
        <w:t xml:space="preserve">measured</w:t>
      </w:r>
      <w:r>
        <w:t xml:space="preserve"> </w:t>
      </w:r>
      <w:r>
        <w:t xml:space="preserve">composition everywhere the nominal was previously used as its identity, with every calculation in Secs. 2.6/3.4 taking the measured chemistry as input, so no conclusion rests on the nominal. Sec. 4.2 states what the shortfall means: at half its intended level silicon cannot have delivered the strengthening it was specified for, while the carbon-free control restores the single-phase α field regardless, so the silicon deficit did not close the processing window either. The benchmark alloy</w:t>
      </w:r>
      <w:r>
        <w:t xml:space="preserve"> </w:t>
      </w:r>
      <w:r>
        <w:rPr>
          <w:i/>
          <w:iCs/>
        </w:rPr>
        <w:t xml:space="preserve">is</w:t>
      </w:r>
      <w:r>
        <w:t xml:space="preserve"> </w:t>
      </w:r>
      <w:r>
        <w:t xml:space="preserve">close to nominal, so the caveat attaches to one alloy only, and the text says so.</w:t>
      </w:r>
    </w:p>
    <w:p>
      <w:pPr>
        <w:pStyle w:val="BodyText"/>
      </w:pPr>
      <w:r>
        <w:rPr>
          <w:b/>
          <w:bCs/>
        </w:rPr>
        <w:t xml:space="preserve">Comment 4.</w:t>
      </w:r>
      <w:r>
        <w:t xml:space="preserve"> </w:t>
      </w:r>
      <w:r>
        <w:rPr>
          <w:i/>
          <w:iCs/>
        </w:rPr>
        <w:t xml:space="preserve">Section 2.2 describes a cyclic heat treatment for abnormal grain growth. However, the main text only briefly states that the XRD pattern of the AGG-treated sample is similar to Fig. 4a, without presenting the grain size, formation of bamboo-like grains, grain orientation, texture, or corresponding cyclic stress-strain results after this treatment. The key mechanical specimens in Figs. 2 and 3 were not in this cyclic heat-treated condition. The key heat treatment specifically included in the Methods does not enter the core evidence chain, and the reporting of the results is incomplete.</w:t>
      </w:r>
    </w:p>
    <w:p>
      <w:pPr>
        <w:pStyle w:val="BodyText"/>
      </w:pPr>
      <w:r>
        <w:rPr>
          <w:b/>
          <w:bCs/>
        </w:rPr>
        <w:t xml:space="preserve">Response.</w:t>
      </w:r>
      <w:r>
        <w:t xml:space="preserve"> </w:t>
      </w:r>
      <w:r>
        <w:t xml:space="preserve">Accepted, and this drove more new content than any other comment: the AGG condition was one sentence and is now Sec. 3.5, with two new figure elements — Fig. 8 (post-AGG diffraction) and Fig. 1d (post-AGG optical microstructure). On the evidence chain, Sec. 3.5 reports the outcome for both alloys, connects it to Sec. 3.4 as its mechanism and feeds Secs. 4.1 and 4.4; we also correct the sentence quoted, since the post-AGG pattern is</w:t>
      </w:r>
      <w:r>
        <w:t xml:space="preserve"> </w:t>
      </w:r>
      <w:r>
        <w:rPr>
          <w:i/>
          <w:iCs/>
        </w:rPr>
        <w:t xml:space="preserve">not</w:t>
      </w:r>
      <w:r>
        <w:t xml:space="preserve"> </w:t>
      </w:r>
      <w:r>
        <w:t xml:space="preserve">“similar to Fig. 4a”</w:t>
      </w:r>
      <w:r>
        <w:t xml:space="preserve"> </w:t>
      </w:r>
      <w:r>
        <w:t xml:space="preserve">— same phases, but the rings resolve into markedly more discrete spots, and Sec. 3.3 now reports phase and grain size separately.</w:t>
      </w:r>
    </w:p>
    <w:p>
      <w:pPr>
        <w:pStyle w:val="BodyText"/>
      </w:pPr>
      <w:r>
        <w:t xml:space="preserve">On the Reviewer’s remaining items: the benchmark bamboos completely, which Sec. 3.5 states without presenting it as a finding of this paper, while the LLM-alloy’s response — the actual finding — is shown directly in Fig. 1d, a fine banded duplex across the entire section with no grain approaching the section width, and Sec. 3.5 distinguishes throughout between grain size, which the treatment does increase, and grain span, which it does not. Texture is now data (Fig. 7, inverse pole figures for both phases). The cyclic record is reported and is poor in an informative way: specimens fail near 1% elongation with large scatter and visible boundary cracking, so the treatment introduces cracking without producing the structure it was applied to produce; stepwise curves were not recorded because in grain size this condition lies between the 1- and 40-minute anneals at 1200 °C, both characterised and neither showing any transformation, and a response bracketed by two such curves cannot itself show one. Sec. 3.5 then draws the conclusion this supports — bamboo amplifies a transformation, it does not create one — so the AGG experiment closes a route rather than leaving one untested.</w:t>
      </w:r>
    </w:p>
    <w:p>
      <w:pPr>
        <w:pStyle w:val="BodyText"/>
      </w:pPr>
      <w:r>
        <w:rPr>
          <w:b/>
          <w:bCs/>
        </w:rPr>
        <w:t xml:space="preserve">Comment 5.</w:t>
      </w:r>
      <w:r>
        <w:t xml:space="preserve"> </w:t>
      </w:r>
      <w:r>
        <w:rPr>
          <w:i/>
          <w:iCs/>
        </w:rPr>
        <w:t xml:space="preserve">Section 2.2 also raises a question regarding the applicability of the processing route. The formation, size, and distribution of B2 nanoscale precipitates depend on the specific composition, aging temperature, cooling rate, and subsequent aging treatment. After the composition is changed to one containing Si and C with a lower Ni content, the optimum precipitation window may be entirely different. Directly applying the heat treatment used for the Omori alloy to the new composition can only show that the two alloys respond differently under the same treatment. Further study is required to determine whether this processing route is suitable for the new alloy and whether it can demonstrate that the new alloy itself cannot form an appropriate B2 nanoscale phase or exhibit superelasticity.</w:t>
      </w:r>
    </w:p>
    <w:p>
      <w:pPr>
        <w:pStyle w:val="BodyText"/>
      </w:pPr>
      <w:r>
        <w:rPr>
          <w:b/>
          <w:bCs/>
        </w:rPr>
        <w:t xml:space="preserve">Response.</w:t>
      </w:r>
      <w:r>
        <w:t xml:space="preserve"> </w:t>
      </w:r>
      <w:r>
        <w:t xml:space="preserve">We concede the logical point without reservation: the experiments alone show only that two alloys respond differently to one route, and the revision says exactly that in Sec. 1 and again in Sec. 4.1, with route optimisation named as future work in the Reviewer’s own terms.</w:t>
      </w:r>
    </w:p>
    <w:p>
      <w:pPr>
        <w:pStyle w:val="BodyText"/>
      </w:pPr>
      <w:r>
        <w:t xml:space="preserve">The new analysis bears directly on the mechanism proposed — that the optimum</w:t>
      </w:r>
      <w:r>
        <w:t xml:space="preserve"> </w:t>
      </w:r>
      <w:r>
        <w:rPr>
          <w:i/>
          <w:iCs/>
        </w:rPr>
        <w:t xml:space="preserve">precipitation window</w:t>
      </w:r>
      <w:r>
        <w:t xml:space="preserve"> </w:t>
      </w:r>
      <w:r>
        <w:t xml:space="preserve">may simply lie elsewhere — and its result is that the difficulty is not a misplaced window but a missing prerequisite. Coherent nanoscale B2 is obtained by quenching from a single-phase α field and ageing below it, and the LLM-alloy has no accessible single-phase α field at any temperature: its solvus is ≈1340 °C, above both the 1200 °C practical ceiling and the ≈1240 °C incipient-melting temperature, while the ordered bcc it can form at equilibrium is ≤11%, confined below ≈850 °C and sitting within a γ matrix. There is therefore no ageing temperature at which this composition could develop the benchmark’s microstructure, because the step</w:t>
      </w:r>
      <w:r>
        <w:t xml:space="preserve"> </w:t>
      </w:r>
      <w:r>
        <w:rPr>
          <w:i/>
          <w:iCs/>
        </w:rPr>
        <w:t xml:space="preserve">before</w:t>
      </w:r>
      <w:r>
        <w:t xml:space="preserve"> </w:t>
      </w:r>
      <w:r>
        <w:t xml:space="preserve">ageing is unavailable everywhere — the window cannot be relocated to a temperature that does not exist. The experimental caveat stands, these being equilibrium calculations.</w:t>
      </w:r>
    </w:p>
    <w:p>
      <w:pPr>
        <w:pStyle w:val="BodyText"/>
      </w:pPr>
      <w:r>
        <w:rPr>
          <w:b/>
          <w:bCs/>
        </w:rPr>
        <w:t xml:space="preserve">Comment 6.</w:t>
      </w:r>
      <w:r>
        <w:t xml:space="preserve"> </w:t>
      </w:r>
      <w:r>
        <w:rPr>
          <w:i/>
          <w:iCs/>
        </w:rPr>
        <w:t xml:space="preserve">Section 2.5 uses ex-situ XRD before deformation and after unloading. For a superelastic material, stress-induced martensite may form during loading and reverse completely during unloading. Therefore, similar diffraction patterns before loading and after unloading do not necessarily exclude a reversible phase transformation during loading. More direct evidence should be provided to confirm the deformation mechanism.</w:t>
      </w:r>
    </w:p>
    <w:p>
      <w:pPr>
        <w:pStyle w:val="BodyText"/>
      </w:pPr>
      <w:r>
        <w:rPr>
          <w:b/>
          <w:bCs/>
        </w:rPr>
        <w:t xml:space="preserve">Response.</w:t>
      </w:r>
      <w:r>
        <w:t xml:space="preserve"> </w:t>
      </w:r>
      <w:r>
        <w:t xml:space="preserve">The Reviewer is right that ex-situ diffraction cannot exclude a fully reversible transformation, and the revision restructures the argument so the diffraction no longer carries that weight. Sec. 3.3 now states the order of evidence explicitly: a transformation reversible enough to leave no diffraction signature after unloading would still have had to produce recoverable strain</w:t>
      </w:r>
      <w:r>
        <w:t xml:space="preserve"> </w:t>
      </w:r>
      <w:r>
        <w:rPr>
          <w:i/>
          <w:iCs/>
        </w:rPr>
        <w:t xml:space="preserve">during</w:t>
      </w:r>
      <w:r>
        <w:t xml:space="preserve"> </w:t>
      </w:r>
      <w:r>
        <w:t xml:space="preserve">unloading, and the unloading segments of Fig. 2 are straight, parallel to the elastic line and return no strain beyond σ/E in all eight conditions; the loading–unloading–heating test of Fig. 3a closes the remaining route, since retained martensite stable enough to survive unloading would revert on heating, as it does for the benchmark and does not for the LLM-alloy. The mechanical measurements are therefore the primary evidence and the diffraction is corroboration. What ex-situ diffraction cannot do is observe the material</w:t>
      </w:r>
      <w:r>
        <w:t xml:space="preserve"> </w:t>
      </w:r>
      <w:r>
        <w:rPr>
          <w:i/>
          <w:iCs/>
        </w:rPr>
        <w:t xml:space="preserve">while loaded</w:t>
      </w:r>
      <w:r>
        <w:t xml:space="preserve">, and an in-situ measurement is named as the direct test.</w:t>
      </w:r>
    </w:p>
    <w:p>
      <w:pPr>
        <w:pStyle w:val="BodyText"/>
      </w:pPr>
      <w:r>
        <w:rPr>
          <w:b/>
          <w:bCs/>
        </w:rPr>
        <w:t xml:space="preserve">Comment 7.</w:t>
      </w:r>
      <w:r>
        <w:t xml:space="preserve"> </w:t>
      </w:r>
      <w:r>
        <w:rPr>
          <w:i/>
          <w:iCs/>
        </w:rPr>
        <w:t xml:space="preserve">Section 3.2 systematically presents only the cyclic curves of the AI alloy and does not provide fully corresponding stepwise cyclic loading-unloading curves for the Omori alloy. Many factors affect superelastic performance. The authors should ensure that the grain size, orientation, texture, and precipitation state of the two alloys are characterized on a corresponding basis before comparing their properties.</w:t>
      </w:r>
    </w:p>
    <w:p>
      <w:pPr>
        <w:pStyle w:val="BodyText"/>
      </w:pPr>
      <w:r>
        <w:rPr>
          <w:b/>
          <w:bCs/>
        </w:rPr>
        <w:t xml:space="preserve">Response.</w:t>
      </w:r>
      <w:r>
        <w:t xml:space="preserve"> </w:t>
      </w:r>
      <w:r>
        <w:t xml:space="preserve">We respectfully push back rather than half-comply, and would rather give the reason plainly. The purpose of this work is to test whether an LLM-hypothesized composition has the potential for stress-induced martensitic transformation; the Omori composition is here as a control, not a subject. Its superelasticity — including the dependence on grain size, orientation, texture and B2 state the Reviewer lists — is among the most thoroughly documented subjects in this family’s literature (Omori et al.,</w:t>
      </w:r>
      <w:r>
        <w:t xml:space="preserve"> </w:t>
      </w:r>
      <w:r>
        <w:rPr>
          <w:i/>
          <w:iCs/>
        </w:rPr>
        <w:t xml:space="preserve">Science</w:t>
      </w:r>
      <w:r>
        <w:t xml:space="preserve"> </w:t>
      </w:r>
      <w:r>
        <w:t xml:space="preserve">333 (2011) 68), and this paper has nothing to add to it. What the control must do is validate the methods, and Fig. 3b is that demonstration: 0.5% recovery on heating under the same protocol that resolves nothing in the LLM-alloy. A fully corresponding stepwise characterization of the benchmark would re-measure settled literature without sharpening the paper’s question, and we have deliberately not added one.</w:t>
      </w:r>
    </w:p>
    <w:p>
      <w:pPr>
        <w:pStyle w:val="BodyText"/>
      </w:pPr>
      <w:r>
        <w:t xml:space="preserve">On corresponding characterization more broadly, the revision reports what corresponds and is candid about what cannot. Both alloys’ 1200 °C grain structures are characterized and both responses to the AGG treatment are in Sec. 3.5; the LLM-alloy’s texture is quantified (Fig. 7) while for the benchmark the same coarse structure that defeats Rietveld quantification precludes an orientation-distribution refinement, which Sec. 3.3 states along with its cause. Where symmetry is impossible, Sec. 3.3 explains why it does not affect the comparison the paper makes: what the coarse structure withholds is a number for</w:t>
      </w:r>
      <w:r>
        <w:t xml:space="preserve"> </w:t>
      </w:r>
      <w:r>
        <w:rPr>
          <w:i/>
          <w:iCs/>
        </w:rPr>
        <w:t xml:space="preserve">how much</w:t>
      </w:r>
      <w:r>
        <w:t xml:space="preserve"> </w:t>
      </w:r>
      <w:r>
        <w:t xml:space="preserve">of the benchmark transformed, not the fact that it transformed.</w:t>
      </w:r>
    </w:p>
    <w:p>
      <w:pPr>
        <w:pStyle w:val="BodyText"/>
      </w:pPr>
      <w:r>
        <w:rPr>
          <w:b/>
          <w:bCs/>
        </w:rPr>
        <w:t xml:space="preserve">Comment 8.</w:t>
      </w:r>
      <w:r>
        <w:t xml:space="preserve"> </w:t>
      </w:r>
      <w:r>
        <w:rPr>
          <w:i/>
          <w:iCs/>
        </w:rPr>
        <w:t xml:space="preserve">The identification of B2 and DO3 in Section 3.3 cannot support the nanoscale precipitation mechanism proposed in the manuscript. Whether the absence of an obvious B2 peak in the AI alloy proves the complete absence of B2 still requires further discussion. The authors should assess whether the heat-treatment route used for the AI alloy is appropriate and use additional characterization methods to determine whether the B2 phase is present.</w:t>
      </w:r>
    </w:p>
    <w:p>
      <w:pPr>
        <w:pStyle w:val="BodyText"/>
      </w:pPr>
      <w:r>
        <w:rPr>
          <w:b/>
          <w:bCs/>
        </w:rPr>
        <w:t xml:space="preserve">Response.</w:t>
      </w:r>
      <w:r>
        <w:t xml:space="preserve"> </w:t>
      </w:r>
      <w:r>
        <w:t xml:space="preserve">The logical point — absence of a peak does not prove absence of the phase — is correct, and the revision responds in three ways. Every categorical</w:t>
      </w:r>
      <w:r>
        <w:t xml:space="preserve"> </w:t>
      </w:r>
      <w:r>
        <w:t xml:space="preserve">“no B2”</w:t>
      </w:r>
      <w:r>
        <w:t xml:space="preserve"> </w:t>
      </w:r>
      <w:r>
        <w:t xml:space="preserve">statement is softened to what the measurement supports: no B2 superlattice reflection was resolved</w:t>
      </w:r>
      <w:r>
        <w:t xml:space="preserve"> </w:t>
      </w:r>
      <w:r>
        <w:rPr>
          <w:i/>
          <w:iCs/>
        </w:rPr>
        <w:t xml:space="preserve">above the detection limit of the present measurement</w:t>
      </w:r>
      <w:r>
        <w:t xml:space="preserve">. That limit is then quantified rather than asserted, which converts the concession into a bound (Sec. 3.3): because B2 and D0₃ share the {200}-type position, the discriminating measurement is the D0₃-only {111} reflection, and any B2 in the LLM-alloy is at least four times less abundant than in the benchmark and may be absent altogether — with the text conceding that a finer or more dilute dispersion cannot be excluded by diffraction, and naming TEM or atom-probe tomography as what would be required. Third, the equilibrium analysis answers the heat-treatment question at a more fundamental level than peak detection: coherent B2 forms by ageing a quenched single-phase α matrix, and this alloy has no such field at any accessible temperature, which also explains the total absence of response to the 200 °C/3 h age.</w:t>
      </w:r>
    </w:p>
    <w:p>
      <w:pPr>
        <w:pStyle w:val="BodyText"/>
      </w:pPr>
      <w:r>
        <w:rPr>
          <w:b/>
          <w:bCs/>
        </w:rPr>
        <w:t xml:space="preserve">Comment 9.</w:t>
      </w:r>
      <w:r>
        <w:t xml:space="preserve"> </w:t>
      </w:r>
      <w:r>
        <w:rPr>
          <w:i/>
          <w:iCs/>
        </w:rPr>
        <w:t xml:space="preserve">Section 4.1 mainly attributes the absence of superelasticity to the stabilization of the FCC γ phase by C. However, the contents of Fe, Mn, Al, Ni, Si, and C all differ simultaneously between the AI alloy and the Omori alloy, and the reduction of Ni from 7.5 at.% to 4 at.% may also significantly affect B2 precipitation and parent-phase stability. How can the authors identify C as the main factor based on only two compositions in which multiple elements vary simultaneously?</w:t>
      </w:r>
    </w:p>
    <w:p>
      <w:pPr>
        <w:pStyle w:val="BodyText"/>
      </w:pPr>
      <w:r>
        <w:rPr>
          <w:b/>
          <w:bCs/>
        </w:rPr>
        <w:t xml:space="preserve">Response.</w:t>
      </w:r>
      <w:r>
        <w:t xml:space="preserve"> </w:t>
      </w:r>
      <w:r>
        <w:t xml:space="preserve">On the two cast heats alone we cannot — the Reviewer is right and the submitted manuscript overclaimed. The revision answers with two calculations that change one variable at a time, which no pair of physical heats can do. The first is a virtual carbon-free control: deleting ≈0.10 wt% carbon from the measured chemistry, everything else held fixed, moves the α solvus from ≈1340 to ≈1150 °C and converts the 1200 °C equilibrium from duplex to 100% α in all three databases (</w:t>
      </w:r>
      <w:r>
        <w:rPr>
          <w:b/>
          <w:bCs/>
        </w:rPr>
        <w:t xml:space="preserve">Fig. 9c</w:t>
      </w:r>
      <w:r>
        <w:t xml:space="preserve">). The second addresses the Reviewer’s specific candidate — a nickel scan from 4.2 to 7.8 at%, across which the solvus does not move at all, so restoring the benchmark’s nickel would not open the window by a degree; what nickel governs instead is how much ordered bcc can form. Sec. 4.2 states the separation in those terms: nickel sets how much B2 could form, carbon sets whether there is ever an α matrix in which to form it coherently.</w:t>
      </w:r>
    </w:p>
    <w:p>
      <w:pPr>
        <w:pStyle w:val="BodyText"/>
      </w:pPr>
      <w:r>
        <w:rPr>
          <w:b/>
          <w:bCs/>
        </w:rPr>
        <w:t xml:space="preserve">Comment 10.</w:t>
      </w:r>
      <w:r>
        <w:t xml:space="preserve"> </w:t>
      </w:r>
      <w:r>
        <w:rPr>
          <w:i/>
          <w:iCs/>
        </w:rPr>
        <w:t xml:space="preserve">The statement about B2 in Section 4.1 is too absolute.</w:t>
      </w:r>
      <w:r>
        <w:rPr>
          <w:i/>
          <w:iCs/>
        </w:rPr>
        <w:t xml:space="preserve"> </w:t>
      </w:r>
      <w:r>
        <w:rPr>
          <w:i/>
          <w:iCs/>
        </w:rPr>
        <w:t xml:space="preserve">“Omori-alloy relies on coherent, ordered β-NiAl (B2) precipitates”</w:t>
      </w:r>
      <w:r>
        <w:rPr>
          <w:i/>
          <w:iCs/>
        </w:rPr>
        <w:t xml:space="preserve"> </w:t>
      </w:r>
      <w:r>
        <w:rPr>
          <w:i/>
          <w:iCs/>
        </w:rPr>
        <w:t xml:space="preserve">may easily imply that B2 is the sole or necessary condition for superelasticity. Appropriate nanoscale B2 precipitates in conventional Fe-Mn-Al-Ni alloys do indeed help increase resistance to slip and improve transformation reversibility (Omori et al., Applied Physics Letters 101 (2012) 231907; La Roca et al., Journal of Alloys and Compounds 708 (2017) 422–427). However, superelasticity also depends on parent-phase stability, transformation temperature, grain size, grain orientation, texture, and the competition between transformation stress and plastic yield stress.</w:t>
      </w:r>
    </w:p>
    <w:p>
      <w:pPr>
        <w:pStyle w:val="BodyText"/>
      </w:pPr>
      <w:r>
        <w:rPr>
          <w:b/>
          <w:bCs/>
        </w:rPr>
        <w:t xml:space="preserve">Response.</w:t>
      </w:r>
      <w:r>
        <w:t xml:space="preserve"> </w:t>
      </w:r>
      <w:r>
        <w:t xml:space="preserve">Accepted in full. Sec. 4.1 now reads that coherent B2 precipitates</w:t>
      </w:r>
      <w:r>
        <w:t xml:space="preserve"> </w:t>
      </w:r>
      <w:r>
        <w:t xml:space="preserve">“contribute to, rather than solely determine, transformation reversibility,”</w:t>
      </w:r>
      <w:r>
        <w:t xml:space="preserve"> </w:t>
      </w:r>
      <w:r>
        <w:t xml:space="preserve">followed by the Reviewer’s list stated as such, with both supplied references cited; the revision adds La Roca et al.’s point that by drawing Ni and Al out of solution the precipitates also shift the matrix’s transformation temperatures, so ageing moves both the obstacle field and the thermodynamic setting at once. We note that the revision’s own diagnosis rests on the first item of that list — parent-phase stability — rather than on B2, with the precipitation question strictly downstream.</w:t>
      </w:r>
    </w:p>
    <w:p>
      <w:pPr>
        <w:pStyle w:val="BodyText"/>
      </w:pPr>
      <w:r>
        <w:rPr>
          <w:b/>
          <w:bCs/>
        </w:rPr>
        <w:t xml:space="preserve">Comment 11.</w:t>
      </w:r>
      <w:r>
        <w:t xml:space="preserve"> </w:t>
      </w:r>
      <w:r>
        <w:rPr>
          <w:i/>
          <w:iCs/>
        </w:rPr>
        <w:t xml:space="preserve">Section 4.2 interprets 600-700 °C as recovery, 800 °C as the onset of recrystallization, and 800-1200 °C as grain growth after complete recrystallization. However, these interpretations are based mainly on changes in strength and elongation and lack corresponding microstructural and EBSD evidence at each temperature. The statements</w:t>
      </w:r>
      <w:r>
        <w:rPr>
          <w:i/>
          <w:iCs/>
        </w:rPr>
        <w:t xml:space="preserve"> </w:t>
      </w:r>
      <w:r>
        <w:rPr>
          <w:i/>
          <w:iCs/>
        </w:rPr>
        <w:t xml:space="preserve">“from 800 to 1200 °C the wire is fully recrystallized”</w:t>
      </w:r>
      <w:r>
        <w:rPr>
          <w:i/>
          <w:iCs/>
        </w:rPr>
        <w:t xml:space="preserve"> </w:t>
      </w:r>
      <w:r>
        <w:rPr>
          <w:i/>
          <w:iCs/>
        </w:rPr>
        <w:t xml:space="preserve">and</w:t>
      </w:r>
      <w:r>
        <w:rPr>
          <w:i/>
          <w:iCs/>
        </w:rPr>
        <w:t xml:space="preserve"> </w:t>
      </w:r>
      <w:r>
        <w:rPr>
          <w:i/>
          <w:iCs/>
        </w:rPr>
        <w:t xml:space="preserve">“single-phase-controlled structural metal”</w:t>
      </w:r>
      <w:r>
        <w:rPr>
          <w:i/>
          <w:iCs/>
        </w:rPr>
        <w:t xml:space="preserve"> </w:t>
      </w:r>
      <w:r>
        <w:rPr>
          <w:i/>
          <w:iCs/>
        </w:rPr>
        <w:t xml:space="preserve">should not be presented as definitive conclusions without direct evidence.</w:t>
      </w:r>
    </w:p>
    <w:p>
      <w:pPr>
        <w:pStyle w:val="BodyText"/>
      </w:pPr>
      <w:r>
        <w:rPr>
          <w:b/>
          <w:bCs/>
        </w:rPr>
        <w:t xml:space="preserve">Response.</w:t>
      </w:r>
      <w:r>
        <w:t xml:space="preserve"> </w:t>
      </w:r>
      <w:r>
        <w:t xml:space="preserve">Accepted. Micrographs were not taken at every anneal temperature, so the recovery/recrystallization/growth reading is an inference from the mechanical response, and Sec. 4.3 now presents it as exactly that: the interpretive language is downgraded throughout, the text states explicitly that the threshold is inferred rather than observed, and EBSD across the anneal series is named as the experiment that would settle it. Both quoted phrases are gone —</w:t>
      </w:r>
      <w:r>
        <w:t xml:space="preserve"> </w:t>
      </w:r>
      <w:r>
        <w:t xml:space="preserve">“fully recrystallized”</w:t>
      </w:r>
      <w:r>
        <w:t xml:space="preserve"> </w:t>
      </w:r>
      <w:r>
        <w:t xml:space="preserve">no longer appears as a definitive claim, and</w:t>
      </w:r>
      <w:r>
        <w:t xml:space="preserve"> </w:t>
      </w:r>
      <w:r>
        <w:t xml:space="preserve">“single-phase-controlled structural metal”</w:t>
      </w:r>
      <w:r>
        <w:t xml:space="preserve"> </w:t>
      </w:r>
      <w:r>
        <w:t xml:space="preserve">is deleted outright, the Reviewer having been doubly right there since this alloy is explicitly two-phase and the phrase was wrong on its face.</w:t>
      </w:r>
    </w:p>
    <w:p>
      <w:pPr>
        <w:pStyle w:val="BodyText"/>
      </w:pPr>
      <w:r>
        <w:rPr>
          <w:b/>
          <w:bCs/>
        </w:rPr>
        <w:t xml:space="preserve">Comment 12.</w:t>
      </w:r>
      <w:r>
        <w:t xml:space="preserve"> </w:t>
      </w:r>
      <w:r>
        <w:rPr>
          <w:i/>
          <w:iCs/>
        </w:rPr>
        <w:t xml:space="preserve">The discussion in Section 4.3 overgeneralizes the limitations of AI-assisted design. This study examines only one candidate selected by the researchers from a range proposed by the model. At most, the current results show that this specific candidate and the processing route used in this study did not achieve the target performance. The manuscript should be repositioned as a case study of the composition-processing-microstructure-property relationships of a specific Fe-Mn-Al-Ni-Si-C alloy, with AI treated only as the source of the candidate rather than as the basis for the main generalized conclusion of the manuscript.</w:t>
      </w:r>
    </w:p>
    <w:p>
      <w:pPr>
        <w:pStyle w:val="BodyText"/>
      </w:pPr>
      <w:r>
        <w:rPr>
          <w:b/>
          <w:bCs/>
        </w:rPr>
        <w:t xml:space="preserve">Response.</w:t>
      </w:r>
      <w:r>
        <w:t xml:space="preserve"> </w:t>
      </w:r>
      <w:r>
        <w:t xml:space="preserve">We concede the overgeneralization and have corrected it, and ask the Reviewer’s consideration for retaining one bounded methodological claim. The sweeping language is gone: statements of the form</w:t>
      </w:r>
      <w:r>
        <w:t xml:space="preserve"> </w:t>
      </w:r>
      <w:r>
        <w:t xml:space="preserve">“AI models cannot yet capture…”</w:t>
      </w:r>
      <w:r>
        <w:t xml:space="preserve"> </w:t>
      </w:r>
      <w:r>
        <w:t xml:space="preserve">are replaced by findings about this case, Sec. 4.4 carries an explicit scope paragraph stating that one composition proposed by one agent in one session and processed by one route is a case study rather than an evaluation of AI-assisted alloy design, and the first limitation in the Conclusions says the same. The revision also strengthens the case-study half on its own terms, as the framing invites, with the alloy ultimately classified against the lightweight-steel family whose chemistry it shares.</w:t>
      </w:r>
    </w:p>
    <w:p>
      <w:pPr>
        <w:pStyle w:val="BodyText"/>
      </w:pPr>
      <w:r>
        <w:t xml:space="preserve">What we ask to retain is one methodological conclusion that survives the n = 1 objection because it does not rest on the sample. The failure mode found here — a required phase field lying above the temperature range in which the alloy can be processed — was diagnosed by an equilibrium calculation that takes minutes, uses openly available databases and is validated in this same study against the benchmark.</w:t>
      </w:r>
      <w:r>
        <w:t xml:space="preserve"> </w:t>
      </w:r>
      <w:r>
        <w:t xml:space="preserve">“LLM-proposed compositions should be screened this way before synthesis”</w:t>
      </w:r>
      <w:r>
        <w:t xml:space="preserve"> </w:t>
      </w:r>
      <w:r>
        <w:t xml:space="preserve">is a conclusion about a</w:t>
      </w:r>
      <w:r>
        <w:t xml:space="preserve"> </w:t>
      </w:r>
      <w:r>
        <w:rPr>
          <w:i/>
          <w:iCs/>
        </w:rPr>
        <w:t xml:space="preserve">workflow step</w:t>
      </w:r>
      <w:r>
        <w:t xml:space="preserve">: its warrant is the diagnosis, not a statistic over candidates, and it would remain true even if most LLM-proposed alloys succeeded, because screening is cheap and failure is expensive at any failure rate. Sec. 4.4 grounds it in a documentary finding rather than a generalization — the agent’s own report recommends the CALPHAD screening that was never performed — so the lesson attaches to where the workflow terminated, not to what the model knew.</w:t>
      </w:r>
    </w:p>
    <w:p>
      <w:r>
        <w:pict>
          <v:rect style="width:0;height:1.5pt" o:hralign="center" o:hrstd="t" o:hr="t"/>
        </w:pict>
      </w:r>
    </w:p>
    <w:p>
      <w:pPr>
        <w:pStyle w:val="FirstParagraph"/>
      </w:pPr>
      <w:r>
        <w:t xml:space="preserve">We thank the Reviewer again. This review required the most work of the three, and the manuscript’s central argument — now resting on validated calculation rather than a two-alloy comparison — is largely a product of it.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2026-08-21T15:42:15Z</dcterms:created>
  <dcterms:modified xsi:type="dcterms:W3CDTF">2026-08-21T15:42:15Z</dcterms:modified>
</cp:coreProperties>
</file>

<file path=docProps/custom.xml><?xml version="1.0" encoding="utf-8"?>
<Properties xmlns="http://schemas.openxmlformats.org/officeDocument/2006/custom-properties" xmlns:vt="http://schemas.openxmlformats.org/officeDocument/2006/docPropsVTypes"/>
</file>