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reviewer-1"/>
    <w:p>
      <w:pPr>
        <w:pStyle w:val="Heading1"/>
      </w:pPr>
      <w:r>
        <w:t xml:space="preserve">Response to Reviewer 1</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careful and constructive reading, and in particular for identifying the two changes that most improved this manuscript: the retrospective CALPHAD analysis (comment 2) and the promotion of the abnormal-grain-growth result to a full section with figures (comment 4). Both are now central to the revision.</w:t>
      </w:r>
    </w:p>
    <w:p>
      <w:pPr>
        <w:pStyle w:val="BodyText"/>
      </w:pPr>
      <w:r>
        <w:t xml:space="preserve">Section and figure numbers below refer to the revised manuscript unless stated otherwise. The revision renames the alloys (comment 5), adds two Methods subsections (2.6, thermodynamic calculations, and an expanded 2.1), two Results sections (3.4, equilibrium phase stability; 3.5, response to the abnormal-grain-growth treatment), and three figures: Fig. 7 (inverse pole figures), Fig. 8 (post-AGG diffraction) and Fig. 9 (equilibrium step diagrams); the existing Fig. 1 gains the post-AGG optical microstructure as panel 1d. The Discussion sections have renumbered accordingly: the AI-implications discussion the Reviewer cites as Section 4.3 is now Section 4.4.</w:t>
      </w:r>
    </w:p>
    <w:p>
      <w:r>
        <w:pict>
          <v:rect style="width:0;height:1.5pt" o:hralign="center" o:hrstd="t" o:hr="t"/>
        </w:pict>
      </w:r>
    </w:p>
    <w:p>
      <w:pPr>
        <w:pStyle w:val="FirstParagraph"/>
      </w:pPr>
      <w:r>
        <w:rPr>
          <w:b/>
          <w:bCs/>
        </w:rPr>
        <w:t xml:space="preserve">Comment 1.</w:t>
      </w:r>
      <w:r>
        <w:t xml:space="preserve"> </w:t>
      </w:r>
      <w:r>
        <w:rPr>
          <w:i/>
          <w:iCs/>
        </w:rPr>
        <w:t xml:space="preserve">The AI-designed alloy differs from the benchmark Omori alloy in multiple elemental concentrations simultaneously (Mn, Al, Ni, Si, and C are all varied). The authors attribute the failure of the AI-hypothesized composition primarily to its elevated carbon content and its destabilizing effect on the BCC parent phase. However, because this is a multi-variable compositional change, the specific role of carbon cannot be isolated. Without a designed control experiment—such as an AI-designed alloy variant without the 1000 ppm C addition—the assertion that</w:t>
      </w:r>
      <w:r>
        <w:rPr>
          <w:i/>
          <w:iCs/>
        </w:rPr>
        <w:t xml:space="preserve"> </w:t>
      </w:r>
      <w:r>
        <w:rPr>
          <w:i/>
          <w:iCs/>
        </w:rPr>
        <w:t xml:space="preserve">“carbon is the main culprit”</w:t>
      </w:r>
      <w:r>
        <w:rPr>
          <w:i/>
          <w:iCs/>
        </w:rPr>
        <w:t xml:space="preserve"> </w:t>
      </w:r>
      <w:r>
        <w:rPr>
          <w:i/>
          <w:iCs/>
        </w:rPr>
        <w:t xml:space="preserve">(as stated in the abstract and Section 4.1) remains speculative and insufficiently supported. The authors should either provide such a control or substantially temper their causal attribution, reframing the conclusion as a combined effect of the entire compositional modification.</w:t>
      </w:r>
    </w:p>
    <w:p>
      <w:pPr>
        <w:pStyle w:val="BodyText"/>
      </w:pPr>
      <w:r>
        <w:rPr>
          <w:b/>
          <w:bCs/>
        </w:rPr>
        <w:t xml:space="preserve">Response.</w:t>
      </w:r>
      <w:r>
        <w:t xml:space="preserve"> </w:t>
      </w:r>
      <w:r>
        <w:t xml:space="preserve">We agree that a two-heat comparison cannot support the causal role the submitted manuscript asserted for carbon, and the revision does both of the things the Reviewer asks: it supplies a control, and it tempers the claim to what that control establishes.</w:t>
      </w:r>
    </w:p>
    <w:p>
      <w:pPr>
        <w:pStyle w:val="BodyText"/>
      </w:pPr>
      <w:r>
        <w:t xml:space="preserve">The control is the one the Reviewer describes — the alloy without its carbon addition — performed in silico. Section 2.6 defines a virtual composition consisting of the</w:t>
      </w:r>
      <w:r>
        <w:t xml:space="preserve"> </w:t>
      </w:r>
      <w:r>
        <w:rPr>
          <w:i/>
          <w:iCs/>
        </w:rPr>
        <w:t xml:space="preserve">measured</w:t>
      </w:r>
      <w:r>
        <w:t xml:space="preserve"> </w:t>
      </w:r>
      <w:r>
        <w:t xml:space="preserve">LLM-alloy chemistry with carbon deleted, and Section 3.4 evaluates it alongside the two real alloys in three independently assessed thermodynamic databases, validated against the benchmark (whose single-phase α field at 1200 °C and ≈20% ordered bcc it reproduces without fitting). The result reproduces across all three databases (Table 3): with carbon present, the LLM-alloy is duplex α + γ at 1200 °C and its single-phase α field does not open until ≈1340 °C — above both the oxidation limit of the process and the calculated incipient-melting temperature; with carbon deleted, the field opens at ≈1150 °C and the alloy is 100% α at 1200 °C, the benchmark’s state. Because nickel is the natural parallel concern, Sec. 3.4 also scans it from 4.2 to 7.8 at%: the α solvus does not move across the entire interval, so restoring the benchmark’s nickel content would not have opened the window by a single degree.</w:t>
      </w:r>
    </w:p>
    <w:p>
      <w:pPr>
        <w:pStyle w:val="BodyText"/>
      </w:pPr>
      <w:r>
        <w:t xml:space="preserve">The causal claim is tempered accordingly in the abstract, Secs. 4.1 and 4.2, and the Conclusions, to the narrow form the control supports: carbon closes the single-phase α field at the solution-treatment temperature, and without that field the alloy cannot be brought into the parent state super-elasticity requires. Section 4.2 also states the limits — the lower Al and Ni contents move the α/γ boundary independently of carbon at lower temperatures, and a calculated control is not a substitute for the experiment. The carbon-free heat the Reviewer describes is named in Secs. 4.2 and 4.4 as the direct experimental test, with the calculation credited only with reducing it from an open compositional search to a single well-specified heat.</w:t>
      </w:r>
    </w:p>
    <w:p>
      <w:pPr>
        <w:pStyle w:val="BodyText"/>
      </w:pPr>
      <w:r>
        <w:rPr>
          <w:b/>
          <w:bCs/>
        </w:rPr>
        <w:t xml:space="preserve">Comment 2.</w:t>
      </w:r>
      <w:r>
        <w:t xml:space="preserve"> </w:t>
      </w:r>
      <w:r>
        <w:rPr>
          <w:i/>
          <w:iCs/>
        </w:rPr>
        <w:t xml:space="preserve">The discussion of why the AI model failed (Section 4.3) is descriptive rather than diagnostic. The authors note that the model relied on thermodynamic and literature correlations, but they do not examine the model’s specific reasoning pathway that led to the proposed composition. Did the model predict a BCC single-phase microstructure? Did it account for the formation of the D03 Fe3Al phase? A retrospective analysis using CALPHAD thermodynamic calculations (even a simple equilibrium phase diagram calculation for both alloys) would add significant quantitative rigor to the claim that the AI-designed alloy has insufficient chemical driving force for stress-induced transformation. Without such analysis, the</w:t>
      </w:r>
      <w:r>
        <w:rPr>
          <w:i/>
          <w:iCs/>
        </w:rPr>
        <w:t xml:space="preserve"> </w:t>
      </w:r>
      <w:r>
        <w:rPr>
          <w:i/>
          <w:iCs/>
        </w:rPr>
        <w:t xml:space="preserve">“lessons learned”</w:t>
      </w:r>
      <w:r>
        <w:rPr>
          <w:i/>
          <w:iCs/>
        </w:rPr>
        <w:t xml:space="preserve"> </w:t>
      </w:r>
      <w:r>
        <w:rPr>
          <w:i/>
          <w:iCs/>
        </w:rPr>
        <w:t xml:space="preserve">for AI-guided design remain vague.</w:t>
      </w:r>
    </w:p>
    <w:p>
      <w:pPr>
        <w:pStyle w:val="BodyText"/>
      </w:pPr>
      <w:r>
        <w:rPr>
          <w:b/>
          <w:bCs/>
        </w:rPr>
        <w:t xml:space="preserve">Response.</w:t>
      </w:r>
      <w:r>
        <w:t xml:space="preserve"> </w:t>
      </w:r>
      <w:r>
        <w:t xml:space="preserve">This comment set the agenda for the revision, and we have done both of the things it asks.</w:t>
      </w:r>
    </w:p>
    <w:p>
      <w:pPr>
        <w:pStyle w:val="BodyText"/>
      </w:pPr>
      <w:r>
        <w:t xml:space="preserve">First, the CALPHAD analysis. New Sections 2.6 and 3.4, Fig. 9 and Table 3 present equilibrium step diagrams (400–1400 °C) for both alloys, computed from the measured chemistries in three independently assessed databases and validated against the benchmark (whose single-phase α field and ≈20% ordered bcc they reproduce without fitting). The analysis sharpened the diagnosis in the direction the Reviewer’s wording anticipates: the problem is not a BCC parent with</w:t>
      </w:r>
      <w:r>
        <w:t xml:space="preserve"> </w:t>
      </w:r>
      <w:r>
        <w:rPr>
          <w:i/>
          <w:iCs/>
        </w:rPr>
        <w:t xml:space="preserve">insufficient driving force</w:t>
      </w:r>
      <w:r>
        <w:t xml:space="preserve"> </w:t>
      </w:r>
      <w:r>
        <w:t xml:space="preserve">but that no accessible heat treatment produces that parent at all — the LLM-alloy is duplex at 1200 °C, reaches single-phase α only at ≈1340 °C, above both its oxidation limit and its calculated incipient-melting temperature, and has no temperature at which it can be solution-treated to α and then aged within it (Secs. 3.4, 4.1).</w:t>
      </w:r>
    </w:p>
    <w:p>
      <w:pPr>
        <w:pStyle w:val="BodyText"/>
      </w:pPr>
      <w:r>
        <w:t xml:space="preserve">Second, the model’s reasoning pathway. The agent’s full 41-page report survives and is supplied as Supplementary Material, so the Reviewer’s two questions are answered from the document itself (Sec. 4.1): (i) Yes — it specified a BCC parent carrying coherent 5–15 nm β precipitates and predicted 5–8% recoverable strain at 400–700 MPa, but it calculated no phase diagram and identified no solution-treatment window: it named the microstructure it wanted without establishing that the composition could produce it. (ii) No — D0₃ and Fe₃Al occur nowhere in the report, although it discusses κ-carbide ordering at length for a different candidate family: the ordering chemistry was present in its reasoning but not carried across to the composition that was made — a failure of transfer rather than of knowledge.</w:t>
      </w:r>
    </w:p>
    <w:p>
      <w:pPr>
        <w:pStyle w:val="BodyText"/>
      </w:pPr>
      <w:r>
        <w:t xml:space="preserve">The</w:t>
      </w:r>
      <w:r>
        <w:t xml:space="preserve"> </w:t>
      </w:r>
      <w:r>
        <w:t xml:space="preserve">“lessons learned”</w:t>
      </w:r>
      <w:r>
        <w:t xml:space="preserve"> </w:t>
      </w:r>
      <w:r>
        <w:t xml:space="preserve">(Sec. 4.4) are rewritten around the concrete finding these two analyses produce together: the only occurrence of CALPHAD in the report’s forty-one pages is its own recommendation for future work. The agent specified a parent phase it had not shown to be attainable and, in the same document, correctly identified the minutes-long calculation that would have shown it.</w:t>
      </w:r>
    </w:p>
    <w:p>
      <w:pPr>
        <w:pStyle w:val="BodyText"/>
      </w:pPr>
      <w:r>
        <w:rPr>
          <w:b/>
          <w:bCs/>
        </w:rPr>
        <w:t xml:space="preserve">Comment 3.</w:t>
      </w:r>
      <w:r>
        <w:t xml:space="preserve"> </w:t>
      </w:r>
      <w:r>
        <w:rPr>
          <w:i/>
          <w:iCs/>
        </w:rPr>
        <w:t xml:space="preserve">The microstructural interpretation of the AI-designed alloy’s deformation mechanisms lacks mechanistic depth. The authors assert that the absence of super-elasticity is due to</w:t>
      </w:r>
      <w:r>
        <w:rPr>
          <w:i/>
          <w:iCs/>
        </w:rPr>
        <w:t xml:space="preserve"> </w:t>
      </w:r>
      <w:r>
        <w:rPr>
          <w:i/>
          <w:iCs/>
        </w:rPr>
        <w:t xml:space="preserve">“irreversible dislocation slip”</w:t>
      </w:r>
      <w:r>
        <w:rPr>
          <w:i/>
          <w:iCs/>
        </w:rPr>
        <w:t xml:space="preserve"> </w:t>
      </w:r>
      <w:r>
        <w:rPr>
          <w:i/>
          <w:iCs/>
        </w:rPr>
        <w:t xml:space="preserve">rather than phase transformation, but they do not explain why this duplex FCC/BCC structure (62% γ, 34% α) preferentially deforms by slip. Is it the morphology of the two phases (e.g., lamellar or blocky) that constrains transformation? Or does the D03 Fe3Al phase pin dislocations in a way that suppresses the martensitic start stress? The authors should provide a more detailed mechanistic rationale linking the observed two-phase microstructure to the suppression of the transformation pathway.</w:t>
      </w:r>
    </w:p>
    <w:p>
      <w:pPr>
        <w:pStyle w:val="BodyText"/>
      </w:pPr>
      <w:r>
        <w:rPr>
          <w:b/>
          <w:bCs/>
        </w:rPr>
        <w:t xml:space="preserve">Response.</w:t>
      </w:r>
      <w:r>
        <w:t xml:space="preserve"> </w:t>
      </w:r>
      <w:r>
        <w:t xml:space="preserve">Section 4.1 has been substantially rewritten to supply this rationale, and the equilibrium calculations changed what the honest answer is. The chain now runs as follows.</w:t>
      </w:r>
    </w:p>
    <w:p>
      <w:pPr>
        <w:numPr>
          <w:ilvl w:val="0"/>
          <w:numId w:val="1001"/>
        </w:numPr>
      </w:pPr>
      <w:r>
        <w:rPr>
          <w:i/>
          <w:iCs/>
        </w:rPr>
        <w:t xml:space="preserve">The parent phase is largely missing, not merely reluctant.</w:t>
      </w:r>
      <w:r>
        <w:t xml:space="preserve"> </w:t>
      </w:r>
      <w:r>
        <w:t xml:space="preserve">In this family the parent is BCC α and the martensite FCC γ — the reverse of the carbon-steel convention, now stated explicitly in Sec. 3.3 — so a structure that is ≈62% γ is mostly product phase already, and Sec. 3.4 shows why: no accessible temperature produces single-phase α in this composition.</w:t>
      </w:r>
    </w:p>
    <w:p>
      <w:pPr>
        <w:numPr>
          <w:ilvl w:val="0"/>
          <w:numId w:val="1001"/>
        </w:numPr>
      </w:pPr>
      <w:r>
        <w:rPr>
          <w:i/>
          <w:iCs/>
        </w:rPr>
        <w:t xml:space="preserve">The γ excess points to a transformation that has already run.</w:t>
      </w:r>
      <w:r>
        <w:t xml:space="preserve"> </w:t>
      </w:r>
      <w:r>
        <w:t xml:space="preserve">The calculations place α in the majority at 1200 °C (62–71%); the refinement of the quenched wire places γ in the majority (≈62%). Section 4.1 discusses the inversion plainly: a partial α → γ transformation during cooling would put the martensite start above room temperature — the transformation the design intended to trigger by stress had already run before the specimen was loaded. We present this as the reading the data favor, and name calorimetry as the most informative remaining experiment.</w:t>
      </w:r>
    </w:p>
    <w:p>
      <w:pPr>
        <w:numPr>
          <w:ilvl w:val="0"/>
          <w:numId w:val="1001"/>
        </w:numPr>
      </w:pPr>
      <w:r>
        <w:rPr>
          <w:i/>
          <w:iCs/>
        </w:rPr>
        <w:t xml:space="preserve">On morphology:</w:t>
      </w:r>
      <w:r>
        <w:t xml:space="preserve"> </w:t>
      </w:r>
      <w:r>
        <w:t xml:space="preserve">SEM/EDS (new Fig. 1b) resolves an intimately interlocked duplex, Al-rich α and Mn-rich γ, with neither assigned as</w:t>
      </w:r>
      <w:r>
        <w:t xml:space="preserve"> </w:t>
      </w:r>
      <w:r>
        <w:t xml:space="preserve">“matrix”</w:t>
      </w:r>
      <w:r>
        <w:t xml:space="preserve"> </w:t>
      </w:r>
      <w:r>
        <w:t xml:space="preserve">(a 2-D section cannot establish 3-D continuity, Sec. 3.1). Mechanistically: transforming the discrete α regions requires the surrounding majority γ to accommodate the shape strain, and γ yields at ≈500–670 MPa, so slip in γ preempts any transformation of the α it encloses (Sec. 4.1).</w:t>
      </w:r>
    </w:p>
    <w:p>
      <w:pPr>
        <w:numPr>
          <w:ilvl w:val="0"/>
          <w:numId w:val="1001"/>
        </w:numPr>
      </w:pPr>
      <w:r>
        <w:rPr>
          <w:i/>
          <w:iCs/>
        </w:rPr>
        <w:t xml:space="preserve">On D0₃:</w:t>
      </w:r>
      <w:r>
        <w:t xml:space="preserve"> </w:t>
      </w:r>
      <w:r>
        <w:t xml:space="preserve">it is a bulk ordered constituent (≈4%), not a fine coherent dispersion, so it does not act as the Reviewer’s second alternative proposes. Section 4.1 also explains</w:t>
      </w:r>
      <w:r>
        <w:t xml:space="preserve"> </w:t>
      </w:r>
      <w:r>
        <w:rPr>
          <w:i/>
          <w:iCs/>
        </w:rPr>
        <w:t xml:space="preserve">why</w:t>
      </w:r>
      <w:r>
        <w:t xml:space="preserve"> </w:t>
      </w:r>
      <w:r>
        <w:t xml:space="preserve">coherent B2 is unavailable: it requires quenching from a single-phase α field and ageing within it, and this alloy has no such field at any accessible temperature — which also accounts for the complete failure of the 200 °C/3 h age (Fig. 2h).</w:t>
      </w:r>
    </w:p>
    <w:p>
      <w:pPr>
        <w:pStyle w:val="FirstParagraph"/>
      </w:pPr>
      <w:r>
        <w:t xml:space="preserve">The post-deformation diffraction (Fig. 4b; unchanged phase fractions, Fig. 6a) corroborates slip as the operative mechanism, as before.</w:t>
      </w:r>
    </w:p>
    <w:p>
      <w:pPr>
        <w:pStyle w:val="BodyText"/>
      </w:pPr>
      <w:r>
        <w:rPr>
          <w:b/>
          <w:bCs/>
        </w:rPr>
        <w:t xml:space="preserve">Comment 4.</w:t>
      </w:r>
      <w:r>
        <w:t xml:space="preserve"> </w:t>
      </w:r>
      <w:r>
        <w:rPr>
          <w:i/>
          <w:iCs/>
        </w:rPr>
        <w:t xml:space="preserve">The manuscript claims that the AI-designed alloy did not exhibit abnormal grain growth (AGG) even under the cyclic heat treatment intended to produce a bamboo-like structure. This observation, however, is buried in a single sentence in Section 3.3. Given that AGG is a central requirement for achieving super-elasticity in this alloy family, the fact that the AI-designed alloy fails to undergo AGG is a second, independent mode of failure. The authors should elevate this point, explicitly present the microstructure after the AGG treatment (which is currently absent from the figures), and discuss how the multi-phase stability prevents grain boundary migration—this would strengthen the case that the AI design is fundamentally incompatible with the processing route.</w:t>
      </w:r>
    </w:p>
    <w:p>
      <w:pPr>
        <w:pStyle w:val="BodyText"/>
      </w:pPr>
      <w:r>
        <w:rPr>
          <w:b/>
          <w:bCs/>
        </w:rPr>
        <w:t xml:space="preserve">Response.</w:t>
      </w:r>
      <w:r>
        <w:t xml:space="preserve"> </w:t>
      </w:r>
      <w:r>
        <w:t xml:space="preserve">We agree, and we have made this change. The abnormal-grain-growth result was a single sentence with no supporting figure; it is now a section of its own, and the microstructure the Reviewer asks to see is now in the figures.</w:t>
      </w:r>
    </w:p>
    <w:p>
      <w:pPr>
        <w:pStyle w:val="BodyText"/>
      </w:pPr>
      <w:r>
        <w:t xml:space="preserve">The post-AGG microstructure of the AI-designed alloy is presented twice over: Fig. 1d gives its optical micrograph — a fine banded duplex structure across the entire wire section, no grain approaching the section width — directly comparable, within the same figure, to the 1-minute (Fig. 1a) and 40-minute (Fig. 1c) anneals; and new Fig. 8 gives its synchrotron diffraction pattern, whose resolution of the Debye rings into discrete spots is the grain-size evidence in reciprocal space. New Section 3.5 (</w:t>
      </w:r>
      <w:r>
        <w:t xml:space="preserve">“Response to the abnormal-grain-growth treatment”</w:t>
      </w:r>
      <w:r>
        <w:t xml:space="preserve">) reports the full record around those figures: at ≈1 mm rod section, optical metallography shows coarsening did occur and is arrested along a continuous band of fine equiaxed grains that the advancing boundaries never consumed; and after the treatment plus the 200 °C/3 h age, boundary cracking is visible on the specimen surface. The benchmark’s response to the same treatment — complete bamboo formation, grains spanning its full 0.64 mm section — is stated in Sec. 3.5; it reproduces the well-documented behaviour of that composition and is deliberately not presented as a figure, since it is not a finding of this paper.</w:t>
      </w:r>
    </w:p>
    <w:p>
      <w:pPr>
        <w:pStyle w:val="BodyText"/>
      </w:pPr>
      <w:r>
        <w:t xml:space="preserve">The arrested-coarsening observation answers the mechanistic part of the comment directly, and Section 3.5 develops it in the terms the Reviewer asks for. Grain growth in this alloy is not absent but</w:t>
      </w:r>
      <w:r>
        <w:t xml:space="preserve"> </w:t>
      </w:r>
      <w:r>
        <w:rPr>
          <w:i/>
          <w:iCs/>
        </w:rPr>
        <w:t xml:space="preserve">arrested</w:t>
      </w:r>
      <w:r>
        <w:t xml:space="preserve">, and it is arrested at the second phase: a boundary migrating through the duplex structure must drag or bypass a phase that no additional time at temperature will remove, because — as the equilibrium calculations of Sec. 3.4 show, and as the unchanged phase constitution of the post-AGG diffraction pattern (Fig. 8) confirms — the duplex state is the equilibrium state at 1200 °C, not an incompletely transformed one. The benchmark, single-phase α at that temperature, has nothing to pin a migrating boundary; the cyclic treatment works for it because repeated crossing of the γ ↔ α boundary leaves a few surviving α grains to grow without competition, and in an alloy that is duplex on both sides of the cycle there is no such condition to exploit. Section 3.5 adds two reinforcing mechanisms of the same origin: transformation interfaces created on every cycle, which subdivide prior grains rather than selecting a few to grow, and solute drag from the Mn/Al/Ni/Si partitioning that every crossing entails. Their combined effect is directly visible in Fig. 1d versus Fig. 1c.</w:t>
      </w:r>
    </w:p>
    <w:p>
      <w:pPr>
        <w:pStyle w:val="BodyText"/>
      </w:pPr>
      <w:r>
        <w:t xml:space="preserve">We would, however, respectfully qualify the Reviewer’s framing on two points, because in following the comment we found the evidence supports a different and, we think, stronger conclusion.</w:t>
      </w:r>
    </w:p>
    <w:p>
      <w:pPr>
        <w:pStyle w:val="BodyText"/>
      </w:pPr>
      <w:r>
        <w:t xml:space="preserve">First, on the facts: the revised manuscript no longer says the alloy</w:t>
      </w:r>
      <w:r>
        <w:t xml:space="preserve"> </w:t>
      </w:r>
      <w:r>
        <w:t xml:space="preserve">“did not exhibit AGG.”</w:t>
      </w:r>
      <w:r>
        <w:t xml:space="preserve"> </w:t>
      </w:r>
      <w:r>
        <w:t xml:space="preserve">It does coarsen — the rod-section metallography reported in Sec. 3.5 shows it plainly, and the post-AGG diffraction pattern resolves into markedly more discrete spots than Fig. 4a, the signature of fewer and larger crystallites (Sec. 3.3, Fig. 8). What it does not form is</w:t>
      </w:r>
      <w:r>
        <w:t xml:space="preserve"> </w:t>
      </w:r>
      <w:r>
        <w:rPr>
          <w:i/>
          <w:iCs/>
        </w:rPr>
        <w:t xml:space="preserve">bamboo</w:t>
      </w:r>
      <w:r>
        <w:t xml:space="preserve"> </w:t>
      </w:r>
      <w:r>
        <w:t xml:space="preserve">structure, in which single grains span the section. Section 3.5 now separates grain size from grain span throughout, because the treatment changes the first and not the second.</w:t>
      </w:r>
    </w:p>
    <w:p>
      <w:pPr>
        <w:pStyle w:val="BodyText"/>
      </w:pPr>
      <w:r>
        <w:t xml:space="preserve">Second, on the interpretation: we do not believe the absence of bamboo constitutes a second, independent mode of failure, and we have not written it as one. Bamboo structure does not confer a transformation — it removes the inter-granular constraint that limits one, and so raises the recoverable strain of a material that already transforms. The benchmark demonstrates this within our own data set: the single-anneal benchmark condition of Fig. 3b is not a bamboo structure, yet the benchmark transforms there (≈0.5% recoverable strain on heating, Sec. 3.2), against the 5–8% this composition reaches once bamboo is developed. The tendency is detectable an order of magnitude below the grain structure that optimises it. In the LLM-alloy no such signal appears anywhere — not across the anneal conditions of Table 2, not with the 200 °C/3 h age, and not after the AGG treatment. Abnormal grain growth multiplies a transformation strain; there is nothing here for it to multiply. Section 3.5 additionally reports that coarsening embrittles this alloy (elongation 11.0% → 1.4% between the 1-minute and 40-minute anneals at 1200 °C, at ≈1 mm rod diameter with the same age applied), so the bamboo route would cost the alloy its ductility long before bamboo dimensions were reached. Both failures — the missing transformation and the arrested, embrittling coarsening — trace to the same duplex constitution, which is, we believe, a stronger statement than two independent failure modes: one diagnosis accounts for both observations, and a phase-stability screen would have raised both before any metal was melted (Sec. 4.4).</w:t>
      </w:r>
    </w:p>
    <w:p>
      <w:pPr>
        <w:pStyle w:val="BodyText"/>
      </w:pPr>
      <w:r>
        <w:rPr>
          <w:b/>
          <w:bCs/>
        </w:rPr>
        <w:t xml:space="preserve">Comment 5.</w:t>
      </w:r>
      <w:r>
        <w:t xml:space="preserve"> </w:t>
      </w:r>
      <w:r>
        <w:rPr>
          <w:i/>
          <w:iCs/>
        </w:rPr>
        <w:t xml:space="preserve">The terminology used throughout the manuscript—specifically</w:t>
      </w:r>
      <w:r>
        <w:rPr>
          <w:i/>
          <w:iCs/>
        </w:rPr>
        <w:t xml:space="preserve"> </w:t>
      </w:r>
      <w:r>
        <w:rPr>
          <w:i/>
          <w:iCs/>
        </w:rPr>
        <w:t xml:space="preserve">“Al-alloy”</w:t>
      </w:r>
      <w:r>
        <w:rPr>
          <w:i/>
          <w:iCs/>
        </w:rPr>
        <w:t xml:space="preserve"> </w:t>
      </w:r>
      <w:r>
        <w:rPr>
          <w:i/>
          <w:iCs/>
        </w:rPr>
        <w:t xml:space="preserve">and</w:t>
      </w:r>
      <w:r>
        <w:rPr>
          <w:i/>
          <w:iCs/>
        </w:rPr>
        <w:t xml:space="preserve"> </w:t>
      </w:r>
      <w:r>
        <w:rPr>
          <w:i/>
          <w:iCs/>
        </w:rPr>
        <w:t xml:space="preserve">“Al-hypothesized”</w:t>
      </w:r>
      <w:r>
        <w:rPr>
          <w:i/>
          <w:iCs/>
        </w:rPr>
        <w:t xml:space="preserve">—is problematic because</w:t>
      </w:r>
      <w:r>
        <w:rPr>
          <w:i/>
          <w:iCs/>
        </w:rPr>
        <w:t xml:space="preserve"> </w:t>
      </w:r>
      <w:r>
        <w:rPr>
          <w:i/>
          <w:iCs/>
        </w:rPr>
        <w:t xml:space="preserve">“Al”</w:t>
      </w:r>
      <w:r>
        <w:rPr>
          <w:i/>
          <w:iCs/>
        </w:rPr>
        <w:t xml:space="preserve"> </w:t>
      </w:r>
      <w:r>
        <w:rPr>
          <w:i/>
          <w:iCs/>
        </w:rPr>
        <w:t xml:space="preserve">is also the chemical symbol for aluminum, which is a major constituent of the alloy under study (~6 wt.%). This ambiguity is confusing and detracts from readability. The authors should replace</w:t>
      </w:r>
      <w:r>
        <w:rPr>
          <w:i/>
          <w:iCs/>
        </w:rPr>
        <w:t xml:space="preserve"> </w:t>
      </w:r>
      <w:r>
        <w:rPr>
          <w:i/>
          <w:iCs/>
        </w:rPr>
        <w:t xml:space="preserve">“Al”</w:t>
      </w:r>
      <w:r>
        <w:rPr>
          <w:i/>
          <w:iCs/>
        </w:rPr>
        <w:t xml:space="preserve"> </w:t>
      </w:r>
      <w:r>
        <w:rPr>
          <w:i/>
          <w:iCs/>
        </w:rPr>
        <w:t xml:space="preserve">with</w:t>
      </w:r>
      <w:r>
        <w:rPr>
          <w:i/>
          <w:iCs/>
        </w:rPr>
        <w:t xml:space="preserve"> </w:t>
      </w:r>
      <w:r>
        <w:rPr>
          <w:i/>
          <w:iCs/>
        </w:rPr>
        <w:t xml:space="preserve">“AI”</w:t>
      </w:r>
      <w:r>
        <w:rPr>
          <w:i/>
          <w:iCs/>
        </w:rPr>
        <w:t xml:space="preserve"> </w:t>
      </w:r>
      <w:r>
        <w:rPr>
          <w:i/>
          <w:iCs/>
        </w:rPr>
        <w:t xml:space="preserve">(artificial intelligence) or</w:t>
      </w:r>
      <w:r>
        <w:rPr>
          <w:i/>
          <w:iCs/>
        </w:rPr>
        <w:t xml:space="preserve"> </w:t>
      </w:r>
      <w:r>
        <w:rPr>
          <w:i/>
          <w:iCs/>
        </w:rPr>
        <w:t xml:space="preserve">“AI-designed”</w:t>
      </w:r>
      <w:r>
        <w:rPr>
          <w:i/>
          <w:iCs/>
        </w:rPr>
        <w:t xml:space="preserve"> </w:t>
      </w:r>
      <w:r>
        <w:rPr>
          <w:i/>
          <w:iCs/>
        </w:rPr>
        <w:t xml:space="preserve">in all instances, including the title, abstract, and keywords, to clearly distinguish the alloy designation from elemental aluminum.</w:t>
      </w:r>
    </w:p>
    <w:p>
      <w:pPr>
        <w:pStyle w:val="BodyText"/>
      </w:pPr>
      <w:r>
        <w:rPr>
          <w:b/>
          <w:bCs/>
        </w:rPr>
        <w:t xml:space="preserve">Response.</w:t>
      </w:r>
      <w:r>
        <w:t xml:space="preserve"> </w:t>
      </w:r>
      <w:r>
        <w:t xml:space="preserve">We checked the submitted source file, and the manuscript in fact reads</w:t>
      </w:r>
      <w:r>
        <w:t xml:space="preserve"> </w:t>
      </w:r>
      <w:r>
        <w:t xml:space="preserve">“AI”</w:t>
      </w:r>
      <w:r>
        <w:t xml:space="preserve"> </w:t>
      </w:r>
      <w:r>
        <w:t xml:space="preserve">(capital A, capital I) in every instance —</w:t>
      </w:r>
      <w:r>
        <w:t xml:space="preserve"> </w:t>
      </w:r>
      <w:r>
        <w:t xml:space="preserve">“Al-alloy”</w:t>
      </w:r>
      <w:r>
        <w:t xml:space="preserve"> </w:t>
      </w:r>
      <w:r>
        <w:t xml:space="preserve">appears nowhere in it. What the Reviewer encountered is the typeface of the review rendering, in which capital</w:t>
      </w:r>
      <w:r>
        <w:t xml:space="preserve"> </w:t>
      </w:r>
      <w:r>
        <w:t xml:space="preserve">“I”</w:t>
      </w:r>
      <w:r>
        <w:t xml:space="preserve"> </w:t>
      </w:r>
      <w:r>
        <w:t xml:space="preserve">and lowercase</w:t>
      </w:r>
      <w:r>
        <w:t xml:space="preserve"> </w:t>
      </w:r>
      <w:r>
        <w:t xml:space="preserve">“l”</w:t>
      </w:r>
      <w:r>
        <w:t xml:space="preserve"> </w:t>
      </w:r>
      <w:r>
        <w:t xml:space="preserve">are the same glyph, so that</w:t>
      </w:r>
      <w:r>
        <w:t xml:space="preserve"> </w:t>
      </w:r>
      <w:r>
        <w:t xml:space="preserve">“AI-alloy”</w:t>
      </w:r>
      <w:r>
        <w:t xml:space="preserve"> </w:t>
      </w:r>
      <w:r>
        <w:t xml:space="preserve">is genuinely indistinguishable from</w:t>
      </w:r>
      <w:r>
        <w:t xml:space="preserve"> </w:t>
      </w:r>
      <w:r>
        <w:t xml:space="preserve">“Al-alloy”</w:t>
      </w:r>
      <w:r>
        <w:t xml:space="preserve"> </w:t>
      </w:r>
      <w:r>
        <w:t xml:space="preserve">on the page. We are grateful the Reviewer raised it, because the ambiguity is real even though it is typographic rather than textual: in a paper about an Fe-Mn-</w:t>
      </w:r>
      <w:r>
        <w:rPr>
          <w:b/>
          <w:bCs/>
        </w:rPr>
        <w:t xml:space="preserve">Al</w:t>
      </w:r>
      <w:r>
        <w:t xml:space="preserve"> </w:t>
      </w:r>
      <w:r>
        <w:t xml:space="preserve">alloy, a designation that can be</w:t>
      </w:r>
      <w:r>
        <w:t xml:space="preserve"> </w:t>
      </w:r>
      <w:r>
        <w:rPr>
          <w:i/>
          <w:iCs/>
        </w:rPr>
        <w:t xml:space="preserve">read</w:t>
      </w:r>
      <w:r>
        <w:t xml:space="preserve"> </w:t>
      </w:r>
      <w:r>
        <w:t xml:space="preserve">as</w:t>
      </w:r>
      <w:r>
        <w:t xml:space="preserve"> </w:t>
      </w:r>
      <w:r>
        <w:t xml:space="preserve">“Al-alloy”</w:t>
      </w:r>
      <w:r>
        <w:t xml:space="preserve"> </w:t>
      </w:r>
      <w:r>
        <w:t xml:space="preserve">is a defect regardless of what the file contains.</w:t>
      </w:r>
    </w:p>
    <w:p>
      <w:pPr>
        <w:pStyle w:val="BodyText"/>
      </w:pPr>
      <w:r>
        <w:t xml:space="preserve">We have therefore adopted the spirit of the comment and gone further than its letter: the test alloy is now named the</w:t>
      </w:r>
      <w:r>
        <w:t xml:space="preserve"> </w:t>
      </w:r>
      <w:r>
        <w:rPr>
          <w:b/>
          <w:bCs/>
        </w:rPr>
        <w:t xml:space="preserve">LLM-alloy</w:t>
      </w:r>
      <w:r>
        <w:t xml:space="preserve"> </w:t>
      </w:r>
      <w:r>
        <w:t xml:space="preserve">and the reference alloy the</w:t>
      </w:r>
      <w:r>
        <w:t xml:space="preserve"> </w:t>
      </w:r>
      <w:r>
        <w:rPr>
          <w:b/>
          <w:bCs/>
        </w:rPr>
        <w:t xml:space="preserve">benchmark alloy</w:t>
      </w:r>
      <w:r>
        <w:t xml:space="preserve"> </w:t>
      </w:r>
      <w:r>
        <w:t xml:space="preserve">throughout — title, abstract, text, tables and figure captions — with</w:t>
      </w:r>
      <w:r>
        <w:t xml:space="preserve"> </w:t>
      </w:r>
      <w:r>
        <w:t xml:space="preserve">“AI-guided/AI-assisted”</w:t>
      </w:r>
      <w:r>
        <w:t xml:space="preserve"> </w:t>
      </w:r>
      <w:r>
        <w:t xml:space="preserve">reserved for the field in general (as in the keyword list), where no element symbol sits adjacent.</w:t>
      </w:r>
      <w:r>
        <w:t xml:space="preserve"> </w:t>
      </w:r>
      <w:r>
        <w:t xml:space="preserve">“LLM”</w:t>
      </w:r>
      <w:r>
        <w:t xml:space="preserve"> </w:t>
      </w:r>
      <w:r>
        <w:t xml:space="preserve">contains no letter that collides with an element symbol in any typeface, and it is also the more precise term for what the agent is, which a second reviewer independently requested. The title is now</w:t>
      </w:r>
      <w:r>
        <w:t xml:space="preserve"> </w:t>
      </w:r>
      <w:r>
        <w:rPr>
          <w:i/>
          <w:iCs/>
        </w:rPr>
        <w:t xml:space="preserve">Experimental Validation of an LLM-Hypothesized Fe-Mn-Al-Ni-Si-C Alloy: Phase Stability Governs the Absence of Super-elasticity</w:t>
      </w:r>
      <w:r>
        <w:t xml:space="preserve">.</w:t>
      </w:r>
    </w:p>
    <w:p>
      <w:pPr>
        <w:pStyle w:val="BodyText"/>
      </w:pPr>
      <w:r>
        <w:rPr>
          <w:b/>
          <w:bCs/>
        </w:rPr>
        <w:t xml:space="preserve">Comment 6.</w:t>
      </w:r>
      <w:r>
        <w:t xml:space="preserve"> </w:t>
      </w:r>
      <w:r>
        <w:rPr>
          <w:i/>
          <w:iCs/>
        </w:rPr>
        <w:t xml:space="preserve">In Section 2.1, the authors state that Si was added for solid-solution strengthening and to influence stacking-fault energy. However, this rationale is not revisited in the Discussion. The authors should either provide a more detailed justification for the Si addition or acknowledge in hindsight that Si may have contributed to the phase-stability imbalance.</w:t>
      </w:r>
    </w:p>
    <w:p>
      <w:pPr>
        <w:pStyle w:val="BodyText"/>
      </w:pPr>
      <w:r>
        <w:rPr>
          <w:b/>
          <w:bCs/>
        </w:rPr>
        <w:t xml:space="preserve">Response.</w:t>
      </w:r>
      <w:r>
        <w:t xml:space="preserve"> </w:t>
      </w:r>
      <w:r>
        <w:t xml:space="preserve">The Reviewer is right that silicon was introduced in the Methods and never revisited. The revision returns to it in Section 4.2, and the calculations allow the answer to be split into what silicon did not do and what it may have done.</w:t>
      </w:r>
    </w:p>
    <w:p>
      <w:pPr>
        <w:pStyle w:val="BodyText"/>
      </w:pPr>
      <w:r>
        <w:t xml:space="preserve">What it did not do: silicon is a ferrite stabilizer, so it cannot have contributed to the γ-stability imbalance — if anything it leaned the other way. The carbon-free control of Sec. 3.4 holds Si at its measured 2.04 at% in both Si-carrying databases and still returns 100% α at 1200 °C, so silicon does not obstruct the single-phase field; and Sec. 2.6 verifies that the primary database’s lack of Si biases it</w:t>
      </w:r>
      <w:r>
        <w:t xml:space="preserve"> </w:t>
      </w:r>
      <w:r>
        <w:rPr>
          <w:i/>
          <w:iCs/>
        </w:rPr>
        <w:t xml:space="preserve">toward</w:t>
      </w:r>
      <w:r>
        <w:t xml:space="preserve"> </w:t>
      </w:r>
      <w:r>
        <w:t xml:space="preserve">γ, i.e. toward the conclusion, and cross-checks against the two Si-carrying databases confirm the duplex constitution is not an artifact of the omission. Separately, silicon was recovered at only half its intended level (2.04 against 4 at%, Sec. 2.1), so it also cannot have delivered the solid-solution strengthening it was specified for.</w:t>
      </w:r>
    </w:p>
    <w:p>
      <w:pPr>
        <w:pStyle w:val="BodyText"/>
      </w:pPr>
      <w:r>
        <w:t xml:space="preserve">What it may have done: Section 4.2 now discusses Heo et al. (Metall. Mater. Trans. A 43 (2012) 1731), who examined precisely this substitution in the Fe-Mn-Al-C field and found that silicon promotes (Fe,Mn)₅(Si,Al)C together with the (Fe,Mn)₃(Al,Si) D0₃ ordered phase in the ferrite, with a serious loss of ductility. D0₃ is the ordered phase we observe, in the α constituent. With two heats and no silicon-free control we cannot separate a silicon contribution to that ordering from an iron-aluminum one, and the revision does not claim it; what it does say, as the hindsight acknowledgement the Reviewer asks for, is that an addition the design rationale treated purely as a strengthener has a documented second role in this compositional field — as a promoter of the very ordering product that was found — and nothing in the reasoning that proposed it engaged with that role.</w:t>
      </w:r>
    </w:p>
    <w:p>
      <w:pPr>
        <w:pStyle w:val="BodyText"/>
      </w:pPr>
      <w:r>
        <w:rPr>
          <w:b/>
          <w:bCs/>
        </w:rPr>
        <w:t xml:space="preserve">Comment 7.</w:t>
      </w:r>
      <w:r>
        <w:t xml:space="preserve"> </w:t>
      </w:r>
      <w:r>
        <w:rPr>
          <w:i/>
          <w:iCs/>
        </w:rPr>
        <w:t xml:space="preserve">The mechanical testing section (Section 2.4) describes the heating stage for the shape-memory effect test as</w:t>
      </w:r>
      <w:r>
        <w:rPr>
          <w:i/>
          <w:iCs/>
        </w:rPr>
        <w:t xml:space="preserve"> </w:t>
      </w:r>
      <w:r>
        <w:rPr>
          <w:i/>
          <w:iCs/>
        </w:rPr>
        <w:t xml:space="preserve">“to ≈200°C,”</w:t>
      </w:r>
      <w:r>
        <w:rPr>
          <w:i/>
          <w:iCs/>
        </w:rPr>
        <w:t xml:space="preserve"> </w:t>
      </w:r>
      <w:r>
        <w:rPr>
          <w:i/>
          <w:iCs/>
        </w:rPr>
        <w:t xml:space="preserve">but the heating rate and holding time are not specified. These details are critical for assessing whether the reverse transformation was fully triggered. The authors should provide this information.</w:t>
      </w:r>
    </w:p>
    <w:p>
      <w:pPr>
        <w:pStyle w:val="BodyText"/>
      </w:pPr>
      <w:r>
        <w:rPr>
          <w:b/>
          <w:bCs/>
        </w:rPr>
        <w:t xml:space="preserve">Response.</w:t>
      </w:r>
      <w:r>
        <w:t xml:space="preserve"> </w:t>
      </w:r>
      <w:r>
        <w:t xml:space="preserve">We agree these details belong in Section 2.4 and we have added them. The specimen was heated to ≈200 °C at a rate of ≈50 °C s⁻¹ and held for ≈10 s at temperature before reloading. On whether this was sufficient to fully trigger the reverse transformation, which is the substance of the Reviewer’s question: at the wire’s 0.36 mm diameter the cross-section reaches temperature in a small fraction of the hold, so the specimen genuinely experienced ≈10 s at ≈200 °C rather than a surface excursion. Section 2.4 has also been rewritten to remove an ambiguity in the same paragraph: it now states explicitly that the specimen was unloaded to zero stress and the crosshead then returned to its starting position (nominal zero strain), which is the state in which heating was applied. We note that the same protocol applied to the benchmark alloy did trigger a resolvable reverse transformation (0.5% recovery on heating, Fig. 3b), which is the internal evidence that the heating stage as executed was sufficient to reverse retained stress-induced martensite where such martensite existed.</w:t>
      </w:r>
    </w:p>
    <w:p>
      <w:pPr>
        <w:pStyle w:val="BodyText"/>
      </w:pPr>
      <w:r>
        <w:rPr>
          <w:b/>
          <w:bCs/>
        </w:rPr>
        <w:t xml:space="preserve">Comment 8.</w:t>
      </w:r>
      <w:r>
        <w:t xml:space="preserve"> </w:t>
      </w:r>
      <w:r>
        <w:rPr>
          <w:i/>
          <w:iCs/>
        </w:rPr>
        <w:t xml:space="preserve">In Table 1, the Omori-alloy contains an unexpected 0.06 wt.% phosphorus, and the authors note the source is unknown. While this may not affect the main conclusions, the authors should discuss whether this unintentional impurity could have influenced the mechanical behavior of the benchmark alloy (e.g., by grain-boundary embrittlement) and whether it complicates the direct comparison with the AI-designed alloy.</w:t>
      </w:r>
    </w:p>
    <w:p>
      <w:pPr>
        <w:pStyle w:val="BodyText"/>
      </w:pPr>
      <w:r>
        <w:rPr>
          <w:b/>
          <w:bCs/>
        </w:rPr>
        <w:t xml:space="preserve">Response.</w:t>
      </w:r>
      <w:r>
        <w:t xml:space="preserve"> </w:t>
      </w:r>
      <w:r>
        <w:t xml:space="preserve">Section 2.1 now discusses this directly. The 0.06 wt% (≈0.10 at%) phosphorus is below the level at which grain-boundary embrittlement is normally reported in Fe-Mn austenitic and duplex alloys, and the benchmark exhibited both good ductility and a clear stress-induced transformation (Figs. 3b, 4d, 6b), so the impurity did not preclude the reference behaviour the comparison requires. As to whether it complicates the comparison: any effect the phosphorus did have could only have</w:t>
      </w:r>
      <w:r>
        <w:t xml:space="preserve"> </w:t>
      </w:r>
      <w:r>
        <w:rPr>
          <w:i/>
          <w:iCs/>
        </w:rPr>
        <w:t xml:space="preserve">degraded</w:t>
      </w:r>
      <w:r>
        <w:t xml:space="preserve"> </w:t>
      </w:r>
      <w:r>
        <w:t xml:space="preserve">the benchmark, and the paper’s comparison runs in the direction</w:t>
      </w:r>
      <w:r>
        <w:t xml:space="preserve"> </w:t>
      </w:r>
      <w:r>
        <w:t xml:space="preserve">“benchmark transforms, LLM-alloy does not”</w:t>
      </w:r>
      <w:r>
        <w:t xml:space="preserve"> </w:t>
      </w:r>
      <w:r>
        <w:t xml:space="preserve">— so the impurity makes that comparison conservative rather than confounded. The most plausible origin (a residual from the commercial melting stock) is stated, along with the fact that it remains unconfirmed. The phosphorus is also carried in the CALPHAD input for the benchmark in the one database able to model it (Sec. 2.6), so the calculations describe the alloy as actually cast, impurity included.</w:t>
      </w:r>
    </w:p>
    <w:p>
      <w:pPr>
        <w:pStyle w:val="BodyText"/>
      </w:pPr>
      <w:r>
        <w:rPr>
          <w:b/>
          <w:bCs/>
        </w:rPr>
        <w:t xml:space="preserve">Comment 9.</w:t>
      </w:r>
      <w:r>
        <w:t xml:space="preserve"> </w:t>
      </w:r>
      <w:r>
        <w:rPr>
          <w:i/>
          <w:iCs/>
        </w:rPr>
        <w:t xml:space="preserve">The peak elongation of the AI-designed alloy (≈33% at 1000°C) is remarkably high for a duplex alloy. While this is not central to the main conclusion, the authors could briefly comment on whether this ductility is exceptional and whether it suggests any potential for structural applications despite the lack of shape-memory functionality.</w:t>
      </w:r>
    </w:p>
    <w:p>
      <w:pPr>
        <w:pStyle w:val="BodyText"/>
      </w:pPr>
      <w:r>
        <w:rPr>
          <w:b/>
          <w:bCs/>
        </w:rPr>
        <w:t xml:space="preserve">Response.</w:t>
      </w:r>
      <w:r>
        <w:t xml:space="preserve"> </w:t>
      </w:r>
      <w:r>
        <w:t xml:space="preserve">We have added this commentary at the end of Section 4.3, and the honest answer is that the figure is respectable rather than exceptional — which is itself informative. Judged against the Ni-alloyed Fe-Mn-Al-C low-density structural steels whose compositional field this alloy in fact occupies (Sec. 4.2), the family spans yield strengths of ≈500–940 MPa, tensile strengths of ≈710–1020 MPa and elongations of 8–78% depending on microstructure (Rahnama et al., Acta Mater. 132 (2017) 627), and the 1000–1200 °C conditions of Table 2 sit inside that envelope on all three measures (σ₀.₂ 502–673 MPa, UTS 938–967 MPa, elongation 23.9–33.4%). The revision therefore frames the alloy as the Reviewer’s question suggests: a serviceable structural metal — combining ≈670 MPa yield strength with ≈33% elongation at the 1000 °C anneal — that was hypothesized to be a shape-memory alloy and is not one. It is best read as an unoptimized member of the low-density-steel family rather than a failed member of the shape-memory family (it carries too little carbon for the κ-carbide strengthening on which that family’s strength is built, Sec. 4.2), and we believe that reading is a more informative outcome than</w:t>
      </w:r>
      <w:r>
        <w:t xml:space="preserve"> </w:t>
      </w:r>
      <w:r>
        <w:t xml:space="preserve">“failure”</w:t>
      </w:r>
      <w:r>
        <w:t xml:space="preserve"> </w:t>
      </w:r>
      <w:r>
        <w:t xml:space="preserve">alone.</w:t>
      </w:r>
    </w:p>
    <w:p>
      <w:r>
        <w:pict>
          <v:rect style="width:0;height:1.5pt" o:hralign="center" o:hrstd="t" o:hr="t"/>
        </w:pict>
      </w:r>
    </w:p>
    <w:p>
      <w:pPr>
        <w:pStyle w:val="FirstParagraph"/>
      </w:pPr>
      <w:r>
        <w:t xml:space="preserve">We thank the Reviewer again for a review whose two central requests — the thermodynamic calculation and the elevation of the AGG result — did the most of any comments we received to strengthen the manuscript.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2026-08-18T21:50:26Z</dcterms:created>
  <dcterms:modified xsi:type="dcterms:W3CDTF">2026-08-18T21:50:26Z</dcterms:modified>
</cp:coreProperties>
</file>

<file path=docProps/custom.xml><?xml version="1.0" encoding="utf-8"?>
<Properties xmlns="http://schemas.openxmlformats.org/officeDocument/2006/custom-properties" xmlns:vt="http://schemas.openxmlformats.org/officeDocument/2006/docPropsVTypes"/>
</file>