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Absence of Super-elasticity in an LLM-Hypothesized Fe-Mn-Al-Ni-Si-C Alloy: Tensile, Synchrotron and CALPHAD Assessment</w:t>
      </w:r>
    </w:p>
    <w:p>
      <w:pPr>
        <w:pStyle w:val="FirstParagraph"/>
      </w:pPr>
      <w:r>
        <w:t xml:space="preserve">Frank Y. Cai</w:t>
      </w:r>
      <w:r>
        <w:rPr>
          <w:vertAlign w:val="superscript"/>
        </w:rPr>
        <w:t xml:space="preserve">1</w:t>
      </w:r>
      <w:r>
        <w:t xml:space="preserve">*, S. Cai</w:t>
      </w:r>
      <w:r>
        <w:rPr>
          <w:vertAlign w:val="superscript"/>
        </w:rPr>
        <w:t xml:space="preserve">2</w:t>
      </w:r>
      <w:r>
        <w:t xml:space="preserve">, X. Wang</w:t>
      </w:r>
      <w:r>
        <w:rPr>
          <w:vertAlign w:val="superscript"/>
        </w:rPr>
        <w:t xml:space="preserve">1</w:t>
      </w:r>
      <w:r>
        <w:t xml:space="preserve">, J. Yan</w:t>
      </w:r>
      <w:r>
        <w:rPr>
          <w:vertAlign w:val="superscript"/>
        </w:rPr>
        <w:t xml:space="preserve">3</w:t>
      </w:r>
    </w:p>
    <w:p>
      <w:pPr>
        <w:pStyle w:val="BodyText"/>
      </w:pPr>
      <w:r>
        <w:rPr>
          <w:vertAlign w:val="superscript"/>
        </w:rPr>
        <w:t xml:space="preserve">1</w:t>
      </w:r>
      <w:r>
        <w:t xml:space="preserve">School of Engineering Technologies, Purdue University, West Lafayette, Indiana 47907, USA</w:t>
      </w:r>
    </w:p>
    <w:p>
      <w:pPr>
        <w:pStyle w:val="BodyText"/>
      </w:pPr>
      <w:r>
        <w:rPr>
          <w:vertAlign w:val="superscript"/>
        </w:rPr>
        <w:t xml:space="preserve">2</w:t>
      </w:r>
      <w:r>
        <w:t xml:space="preserve">Fort Wayne Metals, Fort Wayne, Indiana, USA</w:t>
      </w:r>
    </w:p>
    <w:p>
      <w:pPr>
        <w:pStyle w:val="BodyText"/>
      </w:pPr>
      <w:r>
        <w:rPr>
          <w:vertAlign w:val="superscript"/>
        </w:rPr>
        <w:t xml:space="preserve">3</w:t>
      </w:r>
      <w:r>
        <w:t xml:space="preserve">Shanghai Synchrotron Radiation Facility, Shanghai, China</w:t>
      </w:r>
    </w:p>
    <w:p>
      <w:pPr>
        <w:pStyle w:val="BodyText"/>
      </w:pPr>
      <w:r>
        <w:t xml:space="preserve">*Corresponding author: Frank Y. Cai, School of Engineering Technologies, Purdue University, West Lafayette, Indiana 47907, USA. E-mail: cai485@purdue.edu</w:t>
      </w:r>
    </w:p>
    <w:p>
      <w:r>
        <w:pict>
          <v:rect style="width:0;height:1.5pt" o:hralign="center" o:hrstd="t" o:hr="t"/>
        </w:pict>
      </w:r>
    </w:p>
    <w:bookmarkStart w:id="9" w:name="abstract"/>
    <w:p>
      <w:pPr>
        <w:pStyle w:val="Heading1"/>
      </w:pPr>
      <w:r>
        <w:t xml:space="preserve">Abstract</w:t>
      </w:r>
    </w:p>
    <w:p>
      <w:pPr>
        <w:pStyle w:val="FirstParagraph"/>
      </w:pPr>
      <w:r>
        <w:t xml:space="preserve">A large language model (LLM) deep-research agent proposed a super-elastic Fe-Mn-Al-Ni-Si-C alloy; we tested it by tensile testing and synchrotron diffraction alongside a benchmark Fe-Mn-Al-Ni alloy. The melt (nominal 32.3 wt% Mn, 6.4 wt% Al; 31.8 and 6.2 as analyzed) lies outside the proposed window (Mn 20–30, Al 8–12 wt%). Measured: no super-elasticity appeared after 1-minute anneals at 600–1200 °C or a 200 °C/3 h age, nor shape-memory recovery in a loading–unloading–heating test, whereas the benchmark recovered ≈0.5%; 0.2% proof stress spanned 519–1908 MPa. Quenched from 1200 °C, the alloy is a γ-majority (≈62%, by grain-statistics-limited Rietveld refinement) FCC γ + BCC α duplex with minor ordered Fe₃Al, unchanged by deformation. Calculated: in three CALPHAD databases, two of which reproduce the benchmark, the alloy begins to melt (≈1240–1295 °C) before any single-phase α field opens; deleting its ≈0.10 wt% carbon opens one at ≈1130–1160 °C, and the carbon-bearing compositions sampled inside the window reach no single-phase disordered α at 1200 °C. Open: whether the γ excess over the calculated α-majority reflects incomplete equilibration at 1200 °C or α→γ on cooling is unresolved. LLM-proposed compositions should be screened for competing-phase stability and interstitial content before synthesis.</w:t>
      </w:r>
    </w:p>
    <w:p>
      <w:pPr>
        <w:pStyle w:val="BodyText"/>
      </w:pPr>
      <w:r>
        <w:rPr>
          <w:b/>
          <w:bCs/>
        </w:rPr>
        <w:t xml:space="preserve">Keywords:</w:t>
      </w:r>
      <w:r>
        <w:t xml:space="preserve"> </w:t>
      </w:r>
      <w:r>
        <w:t xml:space="preserve">Fe-based shape memory alloy; super-elasticity; large language model; alloy design; phase stability; CALPHAD; synchrotron XRD</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Materials discovery has been advanced by deep-learning models trained on first-principles thermodynamics. For example, DeepMind’s GNoME predicted more than 2.2 million previously unreported crystal structures with high precision against DFT validation</w:t>
      </w:r>
      <w:r>
        <w:t xml:space="preserve"> </w:t>
      </w:r>
      <w:r>
        <w:t xml:space="preserve">(Ref 1)</w:t>
      </w:r>
      <w:r>
        <w:t xml:space="preserve">, and agentic large language models with deep-research capabilities can ingest decades of metallurgical literature and propose compositions in seconds</w:t>
      </w:r>
      <w:r>
        <w:t xml:space="preserve"> </w:t>
      </w:r>
      <w:r>
        <w:t xml:space="preserve">(Ref 2,3)</w:t>
      </w:r>
      <w:r>
        <w:t xml:space="preserve">. Together these tools raise the possibility of alloy design that supplements intuition-guided iteration with AI-proposed, thermodynamically screened candidates. Computational alloy design of this kind is not a single technique but a family of them, and the family is broader than the LLM agents examined here. Property-targeted screening searches an existing database or surrogate model for compositions meeting a specification, as in the AIMS framework for shape memory alloys</w:t>
      </w:r>
      <w:r>
        <w:t xml:space="preserve"> </w:t>
      </w:r>
      <w:r>
        <w:t xml:space="preserve">(Ref 4)</w:t>
      </w:r>
      <w:r>
        <w:t xml:space="preserve">; generative inverse design instead learns the composition–property mapping and samples new candidates directly from a target property</w:t>
      </w:r>
      <w:r>
        <w:t xml:space="preserve"> </w:t>
      </w:r>
      <w:r>
        <w:t xml:space="preserve">(Ref 5)</w:t>
      </w:r>
      <w:r>
        <w:t xml:space="preserve">; and LLM-based hypothesis generation reasons over the published literature in natural language, producing candidates together with a stated rationale</w:t>
      </w:r>
      <w:r>
        <w:t xml:space="preserve"> </w:t>
      </w:r>
      <w:r>
        <w:t xml:space="preserve">(Ref 6)</w:t>
      </w:r>
      <w:r>
        <w:t xml:space="preserve">. These approaches differ in what they take as input and in how much of their reasoning is inspectable, but they share a common output: a composition that has never been made.</w:t>
      </w:r>
    </w:p>
    <w:p>
      <w:pPr>
        <w:pStyle w:val="BodyText"/>
      </w:pPr>
      <w:r>
        <w:t xml:space="preserve">That shared output is where the difficulty lies, and it defines the gap this study addresses. Generating candidate compositions is now cheap and fast, and the literature reporting such candidates is growing quickly. Physically synthesizing one and testing whether it does what was claimed is neither cheap nor fast, and is correspondingly rare. Rarer still is the publication of a candidate that failed, even though a diagnosed failure constrains the design space at least as usefully as a success and is the only way to learn what these workflows systematically miss. Current generative materials models typically optimize for thermodynamic stability (formation energy, convex-hull distance) but may not, in general, explicitly consider the kinetic barriers governing microstructure evolution during processing</w:t>
      </w:r>
      <w:r>
        <w:t xml:space="preserve"> </w:t>
      </w:r>
      <w:r>
        <w:t xml:space="preserve">(Ref 1)</w:t>
      </w:r>
      <w:r>
        <w:t xml:space="preserve">; nor need they check that the phase fields their target microstructure requires are reachable by any processing route the laboratory can actually run. A composition whose target phase lies on the DFT convex hull might still be difficult to realize in practice. To the best of our knowledge, experimentally validated studies of LLM-hypothesized alloys remain very rare.</w:t>
      </w:r>
    </w:p>
    <w:p>
      <w:pPr>
        <w:pStyle w:val="BodyText"/>
      </w:pPr>
      <w:r>
        <w:t xml:space="preserve">SMAs exhibit reversible martensitic transformations that enable two technologically important behaviors: the shape memory effect, in which thermally induced phase changes recover macroscopic deformation, and super-elasticity, in which stress-induced martensite reverts upon unloading</w:t>
      </w:r>
      <w:r>
        <w:t xml:space="preserve"> </w:t>
      </w:r>
      <w:r>
        <w:t xml:space="preserve">(Ref 7,8)</w:t>
      </w:r>
      <w:r>
        <w:t xml:space="preserve">. As the dominant commercial SMA, Nitinol, a near 50Ni-50Ti alloy, offers large recoverable strains of 6–8%, excellent cyclic stability, and biocompatibility, which make it widely used in medical devices, aerospace actuators, and damping applications</w:t>
      </w:r>
      <w:r>
        <w:t xml:space="preserve"> </w:t>
      </w:r>
      <w:r>
        <w:t xml:space="preserve">(Ref 9,10)</w:t>
      </w:r>
      <w:r>
        <w:t xml:space="preserve">. However, due to its relatively high manufacturing cost, the application of Nitinol in structural engineering such as prestressing tendons for concrete and seismic dampers remains very limited.</w:t>
      </w:r>
    </w:p>
    <w:p>
      <w:pPr>
        <w:pStyle w:val="BodyText"/>
      </w:pPr>
      <w:r>
        <w:t xml:space="preserve">Fe-based shape memory alloys offer a path to lower cost</w:t>
      </w:r>
      <w:r>
        <w:t xml:space="preserve"> </w:t>
      </w:r>
      <w:r>
        <w:t xml:space="preserve">(Ref 11)</w:t>
      </w:r>
      <w:r>
        <w:t xml:space="preserve">. The work of Omori</w:t>
      </w:r>
      <w:r>
        <w:t xml:space="preserve"> </w:t>
      </w:r>
      <w:r>
        <w:rPr>
          <w:i/>
          <w:iCs/>
        </w:rPr>
        <w:t xml:space="preserve">et al.</w:t>
      </w:r>
      <w:r>
        <w:t xml:space="preserve"> </w:t>
      </w:r>
      <w:r>
        <w:t xml:space="preserve">found that certain Fe-Mn-Al-Ni alloys were capable of large strain recovery at room temperature after abnormal grain growth (AGG)</w:t>
      </w:r>
      <w:r>
        <w:t xml:space="preserve"> </w:t>
      </w:r>
      <w:r>
        <w:t xml:space="preserve">(Ref 12)</w:t>
      </w:r>
      <w:r>
        <w:t xml:space="preserve">,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w:t>
      </w:r>
      <w:r>
        <w:t xml:space="preserve"> </w:t>
      </w:r>
      <w:r>
        <w:t xml:space="preserve">(Ref 13,14)</w:t>
      </w:r>
      <w:r>
        <w:t xml:space="preserve">. However, achieving a bamboo-like grain structure poses significant challenges, especially at industrial scale. In this study, we adopted this alloy system and asked an LLM deep-research agent — which retrieves and reads sources at query time rather than being trained on a curated corpus — for lower-cost alternatives with the potential to exhibit super-elasticity; its report draws on 76 published and web sources (Sec. 2.1). We processed one of the LLM-hypothesized compositions alongside the alloy reported by Omori</w:t>
      </w:r>
      <w:r>
        <w:t xml:space="preserve"> </w:t>
      </w:r>
      <w:r>
        <w:rPr>
          <w:i/>
          <w:iCs/>
        </w:rPr>
        <w:t xml:space="preserve">et al.</w:t>
      </w:r>
      <w:r>
        <w:t xml:space="preserve"> </w:t>
      </w:r>
      <w:r>
        <w:t xml:space="preserve">(Ref 12)</w:t>
      </w:r>
      <w:r>
        <w:t xml:space="preserve">. Both alloys were then put through the same nominal processing route. Identical nominal parameters do not guarantee identical recrystallization, grain size, texture or precipitation state in two different compositions, so what follows is a comparison of how each alloy responds to a common route rather than a controlled isolation of composition; the limits of that comparison are stated in Sec. 4.1.</w:t>
      </w:r>
    </w:p>
    <w:p>
      <w:pPr>
        <w:pStyle w:val="BodyText"/>
      </w:pPr>
      <w:r>
        <w:t xml:space="preserve">The hypothesis under test is the agent’s own, and it is worth stating in its own terms before it is examined. Reasoning from the Fe-Mn-Al-Ni family, the agent proposed that Ni could be kept moderate to lower cost, that Si would compensate by stabilizing the BCC α parent and strengthening it in solid solution, and that a minor carbon addition would strengthen the parent further and, through fine carbides, raise the resistance to dislocation slip enough to favor stress-induced transformation over plasticity — all while retaining the α parent phase and the β-NiAl precipitation on which super-elasticity in this family depends, and without requiring the bamboo grain structure that makes the benchmark difficult to produce industrially. Each of these expectations is individually reasonable, and the composition that results is chemically unremarkable. This study tests one composition drawn from that hypothesis rather than validating the hypothesis as a whole: the alloy melted lies inside the proposed range in Si, Ni and C but outside it in Mn and Al (Sec. 2.1), so the range itself is examined by calculation. Secs. 3.1–3.3 report what the alloy did, as measured; Sec. 3.4 asks, by equilibrium calculation, whether the melted composition and compositions inside the proposed range can reach the single-phase α parent state the benchmark’s route requires; Sec. 4.1 keeps what was measured, what was calculated and what remains open apart, and Sec. 4.2 isolates carbon by a calculated control; and Sec. 4.4 asks what a design workflow would have had to do differently to catch the outcome before any metal was melted.</w:t>
      </w:r>
    </w:p>
    <w:p>
      <w:r>
        <w:pict>
          <v:rect style="width:0;height:1.5pt" o:hralign="center" o:hrstd="t" o:hr="t"/>
        </w:pict>
      </w:r>
    </w:p>
    <w:bookmarkEnd w:id="10"/>
    <w:bookmarkStart w:id="17" w:name="materials-and-experiments"/>
    <w:p>
      <w:pPr>
        <w:pStyle w:val="Heading1"/>
      </w:pPr>
      <w:r>
        <w:t xml:space="preserve">2. Materials and Experiments</w:t>
      </w:r>
    </w:p>
    <w:bookmarkStart w:id="11" w:name="alloy-design-and-synthesis"/>
    <w:p>
      <w:pPr>
        <w:pStyle w:val="Heading2"/>
      </w:pPr>
      <w:r>
        <w:t xml:space="preserve">2.1 Alloy design and synthesis</w:t>
      </w:r>
    </w:p>
    <w:p>
      <w:pPr>
        <w:pStyle w:val="FirstParagraph"/>
      </w:pPr>
      <w:r>
        <w:t xml:space="preserve">The LLM-hypothesized composition originated in a Gemini Deep Research session</w:t>
      </w:r>
      <w:r>
        <w:t xml:space="preserve"> </w:t>
      </w:r>
      <w:r>
        <w:t xml:space="preserve">(Ref 2)</w:t>
      </w:r>
      <w:r>
        <w:t xml:space="preserve"> </w:t>
      </w:r>
      <w:r>
        <w:t xml:space="preserve">asked for iron-based compositions that might approach Nitinol-like pseudo-elasticity at substantially lower cost, reasoning from the Fe-Mn-Al-Ni family established by Omori and co-workers</w:t>
      </w:r>
      <w:r>
        <w:t xml:space="preserve"> </w:t>
      </w:r>
      <w:r>
        <w:t xml:space="preserve">(Ref 12,15)</w:t>
      </w:r>
      <w:r>
        <w:t xml:space="preserve"> </w:t>
      </w:r>
      <w:r>
        <w:t xml:space="preserve">and excluding expensive additions such as cobalt and tantalum. Its report —</w:t>
      </w:r>
      <w:r>
        <w:t xml:space="preserve"> </w:t>
      </w:r>
      <w:r>
        <w:rPr>
          <w:i/>
          <w:iCs/>
        </w:rPr>
        <w:t xml:space="preserve">New Fe-SMA Alloy Hypotheses</w:t>
      </w:r>
      <w:r>
        <w:t xml:space="preserve">, 41 pages drawing on 76 sources, all accessed 19 May 2025, exported 4 June 2025 — is supplied in full as Online Resource 1. It is supplied rather than summarized because the verbatim prompt was not preserved and the report does not embed it, so the report is the whole of the recoverable record; that gap is itself worth reporting, since provenance is the first thing an AI-assisted design claim needs and it is easily lost. The report proposes six candidate families and ranks them for experimental priority: three Fe-Mn-Al-(Ni) variants, two Fe-Mn-Si-Cr variants, and one Fe-Al-Cr-Mn interstitial alloy.</w:t>
      </w:r>
    </w:p>
    <w:p>
      <w:pPr>
        <w:pStyle w:val="BodyText"/>
      </w:pPr>
      <w:r>
        <w:t xml:space="preserve">The composition made here was drawn from Hypothesis A2, Fe-Mn-Al-Si-Ni-(B/C), which the report ranked joint second of the six; its first-ranked candidate, an Fe-Mn-Si-Cr-V-C alloy, was not synthesized. A2’s proposed range is Fe (bal.), Mn 20–30, Al 8–12, Si 1–4, Ni 3–6, and either B 0.005–0.05 or C 0.1–0.3, all in wt%. The alloy melted — 54.5Fe-32.3Mn-6.4Al-4.6Ni-2.2Si-0.1C (wt%), equivalently 50Fe-30Mn-12Al-4Ni-4Si (at%) with 1000 ppm C — lies inside that range in silicon, nickel and carbon and outside it in manganese and aluminum: 32.3 wt% Mn against a ceiling of 30, and 6.4 wt% Al against a floor of 8. The report gives A2 as ranges in weight percent only; the composition drawn from it was chosen by the authors, specified in atomic percent, and took A2’s carbon option rather than its boron one. The aluminum shortfall is the larger of the two deviations, and larger than the weight percentages make it look, because in this alloy A2’s 8–12 wt% Al corresponds to 14.9–21.5 at% while the nominal composition carries 12.1 at% (11.9 at% as analyzed). Since aluminum is the strongest ferrite stabilizer present, the deviation runs in the austenite-forming direction — that is, toward the outcome actually observed — so it is a limitation of this study. It lies in the nominal composition itself and was not introduced by melting: the analyzed wire of this heat matches the nominal manganese and aluminum to within 0.6 wt% (</w:t>
      </w:r>
      <w:r>
        <w:rPr>
          <w:b/>
          <w:bCs/>
        </w:rPr>
        <w:t xml:space="preserve">Table 1</w:t>
      </w:r>
      <w:r>
        <w:t xml:space="preserve">). No composition inside the A2 window was melted, so the experiments reported here test the composition that was made and not Hypothesis A2 as a whole; what this paper says about the A2 window rests on equilibrium calculation alone (Sec. 3.4).</w:t>
      </w:r>
    </w:p>
    <w:p>
      <w:pPr>
        <w:pStyle w:val="BodyText"/>
      </w:pPr>
      <w:r>
        <w:t xml:space="preserve">The intended roles of the elements are those the report assigns them in A2: Fe, Mn, Al and Ni to form a BCC parent phase and coherent 5–15 nm β (NiAl-type) precipitates, with Ni kept moderate to lower cost; Si to strengthen the parent BCC matrix by solid solution, Si being also known to increase resistance to slip in ferritic structures and to potentially modify the stability or morphology of β precipitates or influence stacking-fault energy; and C for interstitial strengthening of the parent phase and possible formation of very fine, dispersed carbides. The report’s stated performance target for A2 was 5–8% recoverable strain at a transformation stress of 400–700 MPa. For direct comparison, a second alloy of composition 43.5Fe-34Mn-15Al-7.5Ni (at%), based on the work of Omori</w:t>
      </w:r>
      <w:r>
        <w:t xml:space="preserve"> </w:t>
      </w:r>
      <w:r>
        <w:rPr>
          <w:i/>
          <w:iCs/>
        </w:rPr>
        <w:t xml:space="preserve">et al.</w:t>
      </w:r>
      <w:r>
        <w:t xml:space="preserve"> </w:t>
      </w:r>
      <w:r>
        <w:t xml:space="preserve">(Ref 12)</w:t>
      </w:r>
      <w:r>
        <w:t xml:space="preserve">, was synthesized and processed alongside it. These alloys are hereafter named the LLM-alloy and benchmark alloy, respectively.</w:t>
      </w:r>
    </w:p>
    <w:p>
      <w:pPr>
        <w:pStyle w:val="BodyText"/>
      </w:pPr>
      <w:r>
        <w:t xml:space="preserve">Using high-purity raw elements, about 2 kg of each alloy was melted in a vacuum induction furnace and cast into ø50 mm ingots. Measured chemistries, determined by inductively coupled plasma atomic emission spectroscopy (ICP-AES) with carbon by ASTM E1019, are listed in</w:t>
      </w:r>
      <w:r>
        <w:t xml:space="preserve"> </w:t>
      </w:r>
      <w:r>
        <w:rPr>
          <w:b/>
          <w:bCs/>
        </w:rPr>
        <w:t xml:space="preserve">Table 1</w:t>
      </w:r>
      <w:r>
        <w:t xml:space="preserve">. The benchmark alloy came out close to its nominal target (42.7Fe-34.1Mn-15.2Al-7.8Ni at% measured against 43.5-34-15-7.5 nominal). The LLM-alloy did not: silicon was recovered at only ≈50% of intent — 1.11 wt% against a nominal 2.2 wt%, or 2.04 at% against 4 at% — a shortfall consistent with oxidation loss during vacuum induction melting. For this reason the LLM-alloy is identified throughout this paper by its measured composition, 51.5Fe-29.8Mn-11.9Al-4.2Ni-2.0Si-0.45C (at%), rather than by the nominal target it was drawn from. It should be recognized at the outset that this composition, whether taken as nominal or as measured, does not lie in the Fe-Mn-Al-Ni shape-memory field alone. At 55.8Fe-31.8Mn-6.2Al-4.8Ni-1.1Si-0.105C (wt%) it carries essentially the same Ni-Al pairing, at essentially the same Ni level, as the Ni-alloyed Fe-Mn-Al-C low-density structural steels — Fe-15Mn-10Al-0.8C-5Ni</w:t>
      </w:r>
      <w:r>
        <w:t xml:space="preserve"> </w:t>
      </w:r>
      <w:r>
        <w:t xml:space="preserve">(Ref 16)</w:t>
      </w:r>
      <w:r>
        <w:t xml:space="preserve"> </w:t>
      </w:r>
      <w:r>
        <w:t xml:space="preserve">and Fe-16Mn-9Al-0.9C-5Ni</w:t>
      </w:r>
      <w:r>
        <w:t xml:space="preserve"> </w:t>
      </w:r>
      <w:r>
        <w:t xml:space="preserve">(Ref 17)</w:t>
      </w:r>
      <w:r>
        <w:t xml:space="preserve"> </w:t>
      </w:r>
      <w:r>
        <w:t xml:space="preserve">are representative of that family — differing from them chiefly in roughly twice the manganese and about an eighth of the carbon. That the same four principal elements support two quite different design intentions, one transformational and one purely structural, is central to the interpretation developed in Sec. 4.2. The benchmark alloy additionally carries 0.06 wt% (≈0.10 at%) phosphorus; its source is unknown, the most plausible origin being a residual from the commercial melting stock. This is below the level at which grain-boundary embrittlement is normally reported in Fe-Mn austenitic and duplex alloys, and the benchmark showed both good ductility and clear stress-induced transformation, so the phosphorus did not preclude the reference behavior; any effect it had could only have degraded the benchmark, which makes the comparison drawn below conservative. Several ø13 mm rods were cut from the cast ingots by electrical discharge machining (EDM). These rods were homogenized at 1000 °C for 16 hours in argon atmosphere, then hot-rolled at 850 °C in multiple passes to reduce thickness, and subsequently cold-drawn to wire — 0.36 mm for the LLM-alloy and 0.64 mm for the benchmark. The benchmark specimen of the heating test measured 0.54 mm in the test record (Sec. 2.4). Severe work hardening during cold drawing necessitated intermediate annealing at 1000 °C under argon to restore ductility between draw passes. The amount of cold drawing was ≈85% area reduction after the last process anneal.</w:t>
      </w:r>
    </w:p>
    <w:bookmarkEnd w:id="11"/>
    <w:bookmarkStart w:id="12" w:name="heat-treatments"/>
    <w:p>
      <w:pPr>
        <w:pStyle w:val="Heading2"/>
      </w:pPr>
      <w:r>
        <w:t xml:space="preserve">2.2 Heat treatments</w:t>
      </w:r>
    </w:p>
    <w:p>
      <w:pPr>
        <w:pStyle w:val="FirstParagraph"/>
      </w:pPr>
      <w:r>
        <w:t xml:space="preserve">To test the effect of heat-treating temperature on mechanical properties, cold-drawn 0.36 mm LLM-alloy wires were heat treated in a strand furnace filled with argon at temperatures between 600 and 1200 °C for a dwell time of 1 to 80 minutes, followed by fast cooling to room temperature (the cooling rate on leaving the furnace was not measured). The 1-minute condition of the specimens of Figs. 2–7, including that of the benchmark wire, was a strand pass at 4 ft min⁻¹ through the hot zone;</w:t>
      </w:r>
      <w:r>
        <w:t xml:space="preserve"> </w:t>
      </w:r>
      <w:r>
        <w:t xml:space="preserve">“1 minute”</w:t>
      </w:r>
      <w:r>
        <w:t xml:space="preserve"> </w:t>
      </w:r>
      <w:r>
        <w:t xml:space="preserve">is the nominal dwell, the time at temperature set by the pass speed and the hot-zone length not having been measured separately, and the further specimens averaged in</w:t>
      </w:r>
      <w:r>
        <w:t xml:space="preserve"> </w:t>
      </w:r>
      <w:r>
        <w:rPr>
          <w:b/>
          <w:bCs/>
        </w:rPr>
        <w:t xml:space="preserve">Table 2</w:t>
      </w:r>
      <w:r>
        <w:t xml:space="preserve"> </w:t>
      </w:r>
      <w:r>
        <w:t xml:space="preserve">are recorded as given the same 1-minute treatment. The 40- and 80-minute conditions were static holds. Wire was also exposed above 1200 °C — static holds at 1250 °C for 5 and 20 minutes (one specimen each) and a cyclic exposure at 1300 °C (one specimen) — and heat treatment above 1200 °C caused severe oxidation or furnace contamination. Those conditions are not reported further; in particular, neither their microstructure nor any incipient melting, which the calculated solidus of Sec. 3.4 (≈1240–1295 °C) would allow, is examined here, and 1200 °C was taken as the practical upper limit of the processing window; it is the ceiling referred to in Secs. 3.4 and 4.1.</w:t>
      </w:r>
    </w:p>
    <w:p>
      <w:pPr>
        <w:pStyle w:val="BodyText"/>
      </w:pPr>
      <w:r>
        <w:t xml:space="preserve">Cyclic heat treatments of the type used to induce abnormal grain growth in this alloy family were applied to both alloys. The schedule differed with the stock treated, and the schedules whose results are reported in Sec. 3.5 are stated here. LLM-alloy rod of ≈1–1.3 mm diameter was held at 1200 °C for 30 minutes, water quenched, and re-heated to 900 °C for 15 minutes; this cycle was applied twice, followed by a final 1200 °C/30 min hold and water quench (the two-cycle schedule), or three times, followed by a final 1200 °C/60 min hold and water quench (the three-cycle schedule), and the three-cycle specimens tested mechanically also received the 200 °C/3 h age. In a separate run, 0.36 mm LLM-alloy wire and 0.64 mm benchmark wire were sealed together in a quartz tube under argon and given four 30-minute holds at 1200 °C, each of the first three followed by 10 minutes in the cold zone of the furnace, with a water quench after the fourth; this run had no 900 °C step, and the LLM-alloy wire examined in Sec. 3.1 is, on the processing log, the wire of this run. The 0.64 mm benchmark wire was also cycled under argon between 1200 °C (30 min) and 900 °C (10 min) five times and then held for 60 minutes at 1200 °C. These are treatments of the same type as the cyclic treatment of Omori</w:t>
      </w:r>
      <w:r>
        <w:t xml:space="preserve"> </w:t>
      </w:r>
      <w:r>
        <w:rPr>
          <w:i/>
          <w:iCs/>
        </w:rPr>
        <w:t xml:space="preserve">et al.</w:t>
      </w:r>
      <w:r>
        <w:t xml:space="preserve"> </w:t>
      </w:r>
      <w:r>
        <w:t xml:space="preserve">(Ref 18)</w:t>
      </w:r>
      <w:r>
        <w:t xml:space="preserve">, which carries the alloy repeatedly between the single-phase α field and the α + γ two-phase field; the rod schedule shares its 900 °C lower step and three cycles with that of Viebranz</w:t>
      </w:r>
      <w:r>
        <w:t xml:space="preserve"> </w:t>
      </w:r>
      <w:r>
        <w:rPr>
          <w:i/>
          <w:iCs/>
        </w:rPr>
        <w:t xml:space="preserve">et al.</w:t>
      </w:r>
      <w:r>
        <w:t xml:space="preserve"> </w:t>
      </w:r>
      <w:r>
        <w:t xml:space="preserve">(Ref 19)</w:t>
      </w:r>
      <w:r>
        <w:t xml:space="preserve">. What a cycle of this kind does in an alloy whose calculated constitution is α + γ at 1200 °C and, in the primary database, fully γ at 900 °C (Sec. 3.4) is taken up in Sec. 3.5.</w:t>
      </w:r>
    </w:p>
    <w:bookmarkEnd w:id="12"/>
    <w:bookmarkStart w:id="13" w:name="metallography"/>
    <w:p>
      <w:pPr>
        <w:pStyle w:val="Heading2"/>
      </w:pPr>
      <w:r>
        <w:t xml:space="preserve">2.3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spectroscopy (EDS) were used to study microstructure and local chemistry.</w:t>
      </w:r>
    </w:p>
    <w:bookmarkEnd w:id="13"/>
    <w:bookmarkStart w:id="14" w:name="mechanical-testing"/>
    <w:p>
      <w:pPr>
        <w:pStyle w:val="Heading2"/>
      </w:pPr>
      <w:r>
        <w:t xml:space="preserve">2.4 Mechanical testing</w:t>
      </w:r>
    </w:p>
    <w:p>
      <w:pPr>
        <w:pStyle w:val="FirstParagraph"/>
      </w:pPr>
      <w:r>
        <w:t xml:space="preserve">Room-temperature cyclic tensile testing was performed on an Instron in displacement control. During the test, each specimen was loaded in successive increments of nominally 1% strain with an unloading after each, up to ≈8–12% strain or earlier fracture, and then loaded to fracture. Specimen handling and the monotonic-tension elements of the procedure broadly follow ASTM E8/E8M; the cyclic protocol itself is not a standardized test but a purpose-designed method for evaluating reversible transformation and maximum strain recovery in fine superelastic wire, used in our previous work</w:t>
      </w:r>
      <w:r>
        <w:t xml:space="preserve"> </w:t>
      </w:r>
      <w:r>
        <w:t xml:space="preserve">(Ref 20)</w:t>
      </w:r>
      <w:r>
        <w:t xml:space="preserve">, and the parameters needed to run it are specified here. Engineering stress is computed from each specimen’s measured diameter as entered in the instrument record, and engineering strain is reported throughout as crosshead extension divided by the gauge length recorded by the instrument for that test, without extensometry, so the elastic portion of each curve carries the compliance of the load train and the moduli in</w:t>
      </w:r>
      <w:r>
        <w:t xml:space="preserve"> </w:t>
      </w:r>
      <w:r>
        <w:rPr>
          <w:b/>
          <w:bCs/>
        </w:rPr>
        <w:t xml:space="preserve">Table 2</w:t>
      </w:r>
      <w:r>
        <w:t xml:space="preserve"> </w:t>
      </w:r>
      <w:r>
        <w:t xml:space="preserve">are apparent rather than true. This test reveals the material’s super-elasticity. The gauge length was not the same for every dataset, and because crosshead strain over a short gauge is dominated by load-train and grip compliance, elongations measured on different gauges are not compared as strains in this paper. The gauge for each dataset is as follows (all specimens are listed in Table S1, Online Resource 2). The anneal sweep of</w:t>
      </w:r>
      <w:r>
        <w:t xml:space="preserve"> </w:t>
      </w:r>
      <w:r>
        <w:rPr>
          <w:b/>
          <w:bCs/>
        </w:rPr>
        <w:t xml:space="preserve">Table 2</w:t>
      </w:r>
      <w:r>
        <w:t xml:space="preserve"> </w:t>
      </w:r>
      <w:r>
        <w:t xml:space="preserve">(Sec. 3.2), on 0.36 mm wire, was run at a gauge length of 127 mm (5.000 in) and, for the annealed conditions, a crosshead speed of 0.25 in min⁻¹ (nominal strain rate 8.3 × 10⁻⁴ s⁻¹); three specimens were tested for each condition of</w:t>
      </w:r>
      <w:r>
        <w:t xml:space="preserve"> </w:t>
      </w:r>
      <w:r>
        <w:rPr>
          <w:b/>
          <w:bCs/>
        </w:rPr>
        <w:t xml:space="preserve">Table 2</w:t>
      </w:r>
      <w:r>
        <w:t xml:space="preserve">, every value there is the mean of three measurements, and the quoted uncertainty is one standard deviation over those three specimens; the aged condition of Sec. 3.2, which is not in</w:t>
      </w:r>
      <w:r>
        <w:t xml:space="preserve"> </w:t>
      </w:r>
      <w:r>
        <w:rPr>
          <w:b/>
          <w:bCs/>
        </w:rPr>
        <w:t xml:space="preserve">Table 2</w:t>
      </w:r>
      <w:r>
        <w:t xml:space="preserve">, is a single specimen. The loading–unloading–heating test described next was run on the same 127 mm gauge. The prolonged-anneal wires and the cyclically heat-treated specimens of Sec. 3.5 were tested at three gauges — 127 mm for the 40- and 80-minute wires and for the ≈1–1.3 mm rod specimens, 6.0 mm (0.236 in) for one further three-cycle rod specimen, and 25.4 mm (1.000 in) for the quartz-tube-cycled 0.36 mm wire — and the gauge is stated with each curve. A special loading–unloading–heating cyclic tensile test was also conducted to evaluate any potential shape-memory response. In this case, the samples reported here — one condition per alloy, 1200 °C for 1 minute (Sec. 3.2) — were loaded to 3% strain and unloaded to zero stress, after which the crosshead was returned to its starting position (nominal zero strain). At the same time, the sample was heated to ≈200 °C at a rate of ≈50 °C s⁻¹ and held for ≈10 s to trigger any potential reversal of martensite to austenite; at a diameter of 0.36 mm the wire reaches temperature through its full cross-section well within this hold. In this test, any shape-memory effect would be revealed during the heating stage, which causes the reloading stress to rise at a lower deformation strain.</w:t>
      </w:r>
    </w:p>
    <w:bookmarkEnd w:id="14"/>
    <w:bookmarkStart w:id="15" w:name="synchrotron-x-ray-diffraction"/>
    <w:p>
      <w:pPr>
        <w:pStyle w:val="Heading2"/>
      </w:pPr>
      <w:r>
        <w:t xml:space="preserve">2.5 Synchrotron X-ray diffraction</w:t>
      </w:r>
    </w:p>
    <w:p>
      <w:pPr>
        <w:pStyle w:val="FirstParagraph"/>
      </w:pPr>
      <w:r>
        <w:t xml:space="preserve">To identify phase constitution and potential phase change, synchrotron XRD measurements were performed at the ultra-hard X-ray multifunctional application beamline BL12SW of the Shanghai Synchrotron Radiation Facility (SSRF)</w:t>
      </w:r>
      <w:r>
        <w:t xml:space="preserve"> </w:t>
      </w:r>
      <w:r>
        <w:t xml:space="preserve">(Ref 21,22)</w:t>
      </w:r>
      <w:r>
        <w:t xml:space="preserve">. The incident wavelength was λ = 0.12587 Å with a beam size of 0.5 × 0.5 mm². Two-dimensional Debye–Scherrer patterns were collected, one or two frames per specimen, from separate specimens of each alloy before and after tensile deformation (10% strain for the LLM-alloy, 8% for the benchmark) to test for any potential phase transformation, and from the cyclically treated LLM-alloy rod examined in Sec. 3.3. These 2D images were processed using FIT2D</w:t>
      </w:r>
      <w:r>
        <w:t xml:space="preserve"> </w:t>
      </w:r>
      <w:r>
        <w:t xml:space="preserve">(Ref 23)</w:t>
      </w:r>
      <w:r>
        <w:t xml:space="preserve">, where diffraction data were sliced at 5-degree intervals along the 360-degree azimuth and integrated to generate 72 diffraction spectra, which were then fitted by Rietveld refinement</w:t>
      </w:r>
      <w:r>
        <w:t xml:space="preserve"> </w:t>
      </w:r>
      <w:r>
        <w:t xml:space="preserve">(Ref 24)</w:t>
      </w:r>
      <w:r>
        <w:t xml:space="preserve"> </w:t>
      </w:r>
      <w:r>
        <w:t xml:space="preserve">in MAUD version 2.33</w:t>
      </w:r>
      <w:r>
        <w:t xml:space="preserve"> </w:t>
      </w:r>
      <w:r>
        <w:t xml:space="preserve">(Ref 25)</w:t>
      </w:r>
      <w:r>
        <w:t xml:space="preserve"> </w:t>
      </w:r>
      <w:r>
        <w:t xml:space="preserve">to identify phase constitutions, volume fractions, and crystal orientations of the different phases. All azimuthal spectra were refined simultaneously against a three-phase model — γ (Fm-3m), α (Im-3m) and D0₃ Fe₃Al (Fm-3m) — with lattice parameters fixed, not refined, at a = 3.6366, 2.8865 and 5.7734 Å respectively (5.7801 Å for D0₃ in the refinement of the deformed specimen). Crystallographic texture was treated explicitly by the E-WIMV orientation-distribution-function algorithm rather than by a preferred-orientation correction; this is necessary here because the cold-drawn wire carries a strong fiber texture, so that no single azimuthal slice is representative of the bulk and the azimuthal dimension must be retained in the fit. Profile residuals are quoted with the corresponding patterns in Sec. 3.3. Quantitative refinement proved feasible for the LLM-alloy only; the reason is microstructural and is given in Sec. 3.3.</w:t>
      </w:r>
    </w:p>
    <w:bookmarkEnd w:id="15"/>
    <w:bookmarkStart w:id="16" w:name="equilibrium-thermodynamic-calculations"/>
    <w:p>
      <w:pPr>
        <w:pStyle w:val="Heading2"/>
      </w:pPr>
      <w:r>
        <w:t xml:space="preserve">2.6 Equilibrium thermodynamic calculations</w:t>
      </w:r>
    </w:p>
    <w:p>
      <w:pPr>
        <w:pStyle w:val="FirstParagraph"/>
      </w:pPr>
      <w:r>
        <w:t xml:space="preserve">Equilibrium phase fractions were computed with the CALPHAD method</w:t>
      </w:r>
      <w:r>
        <w:t xml:space="preserve"> </w:t>
      </w:r>
      <w:r>
        <w:t xml:space="preserve">(Ref 26)</w:t>
      </w:r>
      <w:r>
        <w:t xml:space="preserve"> </w:t>
      </w:r>
      <w:r>
        <w:t xml:space="preserve">using pycalphad 0.11.2, an open-source Python implementation of the Gibbs-energy-minimization formalism</w:t>
      </w:r>
      <w:r>
        <w:t xml:space="preserve"> </w:t>
      </w:r>
      <w:r>
        <w:t xml:space="preserve">(Ref 27)</w:t>
      </w:r>
      <w:r>
        <w:t xml:space="preserve">. Isoplethal step diagrams were calculated at 1 atm from 400 to 1400 °C in 10 °C increments, with the liquid phase and every other phase listed for each database in Table S2 (Online Resource 2) included in every calculation; a first pass on a 20 °C grid reproduced every shared point exactly, so the results do not depend on the temperature step. They can depend on the density of the composition grid from which the global Gibbs-energy minimization starts: near the solidus of the LLM-alloy, different densities converged to different states, and for those temperatures in the step diagrams (Fig. 9, Tables 3 and 4) the state of lowest Gibbs energy across a ladder of densities was retained; the nickel and composition scans of Sec. 3.4 were not arbitrated (Table S2). Starting grids were 500 points per degree of freedom (2000 for mc_fe v2.059), and the density ladders used for this arbitration spanned 300–4000 points per degree of freedom. Input compositions were the ICP-AES chemistries of</w:t>
      </w:r>
      <w:r>
        <w:t xml:space="preserve"> </w:t>
      </w:r>
      <w:r>
        <w:rPr>
          <w:b/>
          <w:bCs/>
        </w:rPr>
        <w:t xml:space="preserve">Table 1</w:t>
      </w:r>
      <w:r>
        <w:t xml:space="preserve"> </w:t>
      </w:r>
      <w:r>
        <w:t xml:space="preserve">converted to atomic percent, so that the calculations describe the alloys as analyzed rather than as nominally specified: Fe–29.8Mn–11.9Al–4.2Ni–2.04Si–0.45C for the LLM-alloy and Fe–34.1Mn–15.2Al–7.8Ni–0.10P–0.04C–0.02Si for the benchmark alloy. A third, virtual composition was also evaluated — the measured LLM-alloy chemistry with carbon removed and every other element held at its measured value. This is an in-silico control that isolates the effect of carbon alone, which no pair of physically cast heats can do.</w:t>
      </w:r>
    </w:p>
    <w:p>
      <w:pPr>
        <w:pStyle w:val="BodyText"/>
      </w:pPr>
      <w:r>
        <w:t xml:space="preserve">No single publicly available thermodynamic database assesses Fe–Mn–Al–Ni–Si–C simultaneously</w:t>
      </w:r>
      <w:r>
        <w:t xml:space="preserve"> </w:t>
      </w:r>
      <w:r>
        <w:rPr>
          <w:i/>
          <w:iCs/>
        </w:rPr>
        <w:t xml:space="preserve">and</w:t>
      </w:r>
      <w:r>
        <w:t xml:space="preserve"> </w:t>
      </w:r>
      <w:r>
        <w:t xml:space="preserve">models the B2, D0₃ and κ ordered phases relevant here, so three independent assessments were used and only their points of agreement are reported. Agreement between separately assessed databases is stronger evidence than a single calculation. The primary database was</w:t>
      </w:r>
      <w:r>
        <w:t xml:space="preserve"> </w:t>
      </w:r>
      <w:r>
        <w:rPr>
          <w:b/>
          <w:bCs/>
        </w:rPr>
        <w:t xml:space="preserve">mpea-02b</w:t>
      </w:r>
      <w:r>
        <w:t xml:space="preserve"> </w:t>
      </w:r>
      <w:r>
        <w:t xml:space="preserve">(Ref 28,29)</w:t>
      </w:r>
      <w:r>
        <w:t xml:space="preserve">, the only one covering Fe–Mn–Al–Ni–C together, in which B2 is treated as an ordered partition of the disordered A2 lattice; it does not contain Si.</w:t>
      </w:r>
      <w:r>
        <w:t xml:space="preserve"> </w:t>
      </w:r>
      <w:r>
        <w:rPr>
          <w:b/>
          <w:bCs/>
        </w:rPr>
        <w:t xml:space="preserve">PrecHiMn-04</w:t>
      </w:r>
      <w:r>
        <w:t xml:space="preserve"> </w:t>
      </w:r>
      <w:r>
        <w:t xml:space="preserve">(Ref 30)</w:t>
      </w:r>
      <w:r>
        <w:t xml:space="preserve"> </w:t>
      </w:r>
      <w:r>
        <w:t xml:space="preserve">was used as a cross-check because it is the only one that models D0₃ (through a four-sublattice bcc description) and κ-(Fe,Mn)₃AlC while also carrying Si, though it contains no Ni.</w:t>
      </w:r>
      <w:r>
        <w:t xml:space="preserve"> </w:t>
      </w:r>
      <w:r>
        <w:rPr>
          <w:b/>
          <w:bCs/>
        </w:rPr>
        <w:t xml:space="preserve">mc_fe v2.059</w:t>
      </w:r>
      <w:r>
        <w:t xml:space="preserve"> </w:t>
      </w:r>
      <w:r>
        <w:t xml:space="preserve">(Ref 31)</w:t>
      </w:r>
      <w:r>
        <w:t xml:space="preserve"> </w:t>
      </w:r>
      <w:r>
        <w:t xml:space="preserve">provided the broadest element coverage and is the only database able to carry Si, C and the benchmark alloy’s 0.06 wt% P at once, at the cost of the least detailed ordering description. Where a database does not assess an element that is present in the alloy, that element was omitted and the remaining composition renormalized to unity; this shifts the modeled elements from the chemistries quoted above by at most ≈1.1 at% (Fe) in mpea-02b and ≈2.3 at% (Fe) in PrecHiMn-04, which lacks Ni, so that the composition solved in mpea-02b for the LLM-alloy is Fe–30.5Mn–12.2Al–4.3Ni–0.46C. For partitioned phases the degree of long-range order was evaluated from the refined sublattice site fractions rather than assumed from the phase name, and an ordered structure was reported only where the substitutional sublattice occupancies differed by more than 0.05.</w:t>
      </w:r>
    </w:p>
    <w:p>
      <w:pPr>
        <w:pStyle w:val="BodyText"/>
      </w:pPr>
      <w:r>
        <w:t xml:space="preserve">Four limitations should be borne in mind when reading these calculations. First, they describe equilibrium, whereas the wires were annealed for 1 to 80 minutes and cooled rapidly; equilibrium is the destination, not the as-quenched state. Second, Si is absent from the primary database. Because Si is a ferrite stabilizer, omitting it biases that database toward γ, which is the same direction as the conclusion drawn below; the omission is therefore not conservative and must be checked rather than argued away. Both of the other databases carry Si at its measured 2.04 at%, and both return</w:t>
      </w:r>
      <w:r>
        <w:t xml:space="preserve"> </w:t>
      </w:r>
      <w:r>
        <w:rPr>
          <w:i/>
          <w:iCs/>
        </w:rPr>
        <w:t xml:space="preserve">less</w:t>
      </w:r>
      <w:r>
        <w:t xml:space="preserve"> </w:t>
      </w:r>
      <w:r>
        <w:t xml:space="preserve">α at 1200 °C than the Si-free primary database does (Sec. 3.4), so the calculated duplex constitution of the LLM-alloy is not an artifact of the missing element. Third, pycalphad reports that the magnetic contribution to the partitioned B2 description is not fully substituted into the disordered part, so B2 fractions were cross-checked against mc_fe, which models B2 as an independent phase. Fourth, PrecHiMn-04 is assessed for high-Mn steels at far lower Al than the 12 at% present here and returns an unphysical β-Mn-dominated result below ≈600 °C; its use is therefore restricted to the D0₃ and κ questions and to the high-temperature α field. All three databases were used as distributed in the open multicomponent-database collection of the pycalphad project, without modification; the scripts, input compositions, phase lists and raw output are available as stated under Data availability.</w:t>
      </w:r>
    </w:p>
    <w:p>
      <w:r>
        <w:pict>
          <v:rect style="width:0;height:1.5pt" o:hralign="center" o:hrstd="t" o:hr="t"/>
        </w:pict>
      </w:r>
    </w:p>
    <w:bookmarkEnd w:id="16"/>
    <w:bookmarkEnd w:id="17"/>
    <w:bookmarkStart w:id="23" w:name="experiment-results"/>
    <w:p>
      <w:pPr>
        <w:pStyle w:val="Heading1"/>
      </w:pPr>
      <w:r>
        <w:t xml:space="preserve">3. Experiment Results</w:t>
      </w:r>
    </w:p>
    <w:bookmarkStart w:id="18" w:name="microstructure"/>
    <w:p>
      <w:pPr>
        <w:pStyle w:val="Heading2"/>
      </w:pPr>
      <w:r>
        <w:t xml:space="preserve">3.1 Microstructure</w:t>
      </w:r>
    </w:p>
    <w:p>
      <w:pPr>
        <w:pStyle w:val="FirstParagraph"/>
      </w:pPr>
      <w:r>
        <w:rPr>
          <w:b/>
          <w:bCs/>
        </w:rPr>
        <w:t xml:space="preserve">Fig. 1a</w:t>
      </w:r>
      <w:r>
        <w:t xml:space="preserve"> </w:t>
      </w:r>
      <w:r>
        <w:t xml:space="preserve">shows the microstructure of the LLM-alloy after heat treatment at 1200 °C for 1 minute. The material exhibits a highly refined, fine-grained equiaxed microstructure with average grain diameters well under 20 µm. Scanning electron microscopy (</w:t>
      </w:r>
      <w:r>
        <w:rPr>
          <w:b/>
          <w:bCs/>
        </w:rPr>
        <w:t xml:space="preserve">Fig. 1b</w:t>
      </w:r>
      <w:r>
        <w:t xml:space="preserve">) resolves this morphology as an intimately interlocked two-phase mixture of a darker gray constituent and a brighter, blockier one. EDS detected higher Al in the darker constituent and higher Mn in the brighter one, consistent with a duplex structure in which the Al-rich regions are BCC α-phase and the Mn-rich regions are FCC γ-phase. We do not assign either constituent as the matrix and the other as a dispersed second phase: the phase fractions of Sec. 3.3 place γ in the majority, and a two-dimensional section through an interpenetrating duplex structure does not on its own establish which constituent is continuous in three dimensions. Prolonging the annealing duration to 40 minutes at the same temperature (</w:t>
      </w:r>
      <w:r>
        <w:rPr>
          <w:b/>
          <w:bCs/>
        </w:rPr>
        <w:t xml:space="preserve">Fig. 1c</w:t>
      </w:r>
      <w:r>
        <w:t xml:space="preserve">)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r>
        <w:t xml:space="preserve"> </w:t>
      </w:r>
      <w:r>
        <w:rPr>
          <w:b/>
          <w:bCs/>
        </w:rPr>
        <w:t xml:space="preserve">Fig. 1d</w:t>
      </w:r>
      <w:r>
        <w:t xml:space="preserve"> </w:t>
      </w:r>
      <w:r>
        <w:t xml:space="preserve">shows the wire after the cyclic abnormal-grain-growth treatment of Sec. 2.2; the response to that treatment is analyzed in Sec. 3.5. One feature of the panel belongs here, because it concerns identification rather than grain growth. The structure in</w:t>
      </w:r>
      <w:r>
        <w:t xml:space="preserve"> </w:t>
      </w:r>
      <w:r>
        <w:rPr>
          <w:b/>
          <w:bCs/>
        </w:rPr>
        <w:t xml:space="preserve">Fig. 1d</w:t>
      </w:r>
      <w:r>
        <w:t xml:space="preserve"> </w:t>
      </w:r>
      <w:r>
        <w:t xml:space="preserve">reads more as a transformation-refined lamellar or lath α + γ morphology than as a simply finer equiaxed grain structure. Whether this alloy undergoes a martensitic or Widmanstätten-type γ ↔ α transformation during quenching is not established by the present data (Sec. 4.1); if it does, the apparently fine</w:t>
      </w:r>
      <w:r>
        <w:t xml:space="preserve"> </w:t>
      </w:r>
      <w:r>
        <w:t xml:space="preserve">“grain size”</w:t>
      </w:r>
      <w:r>
        <w:t xml:space="preserve"> </w:t>
      </w:r>
      <w:r>
        <w:t xml:space="preserve">may largely reflect fine transformation packets or colonies inside larger parent grains, not a reduction in the true parent grain size. EBSD grain-boundary mapping would settle the distinction and is recommended as future work. The morphology is noted here because it bears on the question left open in Sec. 4.1 — whether either constituent formed in part during the quench — and does not by itself decide it.</w:t>
      </w:r>
    </w:p>
    <w:bookmarkEnd w:id="18"/>
    <w:bookmarkStart w:id="19" w:name="cyclic-stressstrain-response"/>
    <w:p>
      <w:pPr>
        <w:pStyle w:val="Heading2"/>
      </w:pPr>
      <w:r>
        <w:t xml:space="preserve">3.2 Cyclic stress–strain response</w:t>
      </w:r>
    </w:p>
    <w:p>
      <w:pPr>
        <w:pStyle w:val="FirstParagraph"/>
      </w:pPr>
      <w:r>
        <w:t xml:space="preserve">Cyclic tensile stress–strain curves for the LLM-alloy after heat treatment at different temperatures are shown in</w:t>
      </w:r>
      <w:r>
        <w:t xml:space="preserve"> </w:t>
      </w:r>
      <w:r>
        <w:rPr>
          <w:b/>
          <w:bCs/>
        </w:rPr>
        <w:t xml:space="preserve">Fig. 2</w:t>
      </w:r>
      <w:r>
        <w:t xml:space="preserve">, and the corresponding data are listed in</w:t>
      </w:r>
      <w:r>
        <w:t xml:space="preserve"> </w:t>
      </w:r>
      <w:r>
        <w:rPr>
          <w:b/>
          <w:bCs/>
        </w:rPr>
        <w:t xml:space="preserve">Table 2</w:t>
      </w:r>
      <w:r>
        <w:t xml:space="preserve">. This information reveals a broad picture of how heat treatment governs the alloy’s mechanical properties. The response is strongly anneal-dependent: low strand-anneal temperatures (600–700 °C) leave the wire with high strength but brittleness (tensile strengths of ≈1876–2254 MPa and yield strengths of ≈1635–1908 MPa, but elongation of only ≈2%), reflecting incomplete recrystallization of the cold-drawn wire, whereas annealing at 800–1200 °C progressively softens the wire and restores ductility, with elongation peaking near 33% at 1000 °C. The elastic modulus, E, stays in the ≈150–162 GPa range across the well-annealed conditions. Across all LLM-alloy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departure from linear unloading visible at the scale of</w:t>
      </w:r>
      <w:r>
        <w:t xml:space="preserve"> </w:t>
      </w:r>
      <w:r>
        <w:rPr>
          <w:b/>
          <w:bCs/>
        </w:rPr>
        <w:t xml:space="preserve">Fig. 2</w:t>
      </w:r>
      <w:r>
        <w:t xml:space="preserve">; because E is the apparent crosshead modulus (Sec. 2.4), this is a statement about the linearity of unloading rather than a measured recovery threshold. It has been reported that aging at 200 °C can improve the pseudo-elasticity of Fe-Mn-Al-Ni alloy</w:t>
      </w:r>
      <w:r>
        <w:t xml:space="preserve"> </w:t>
      </w:r>
      <w:r>
        <w:t xml:space="preserve">(Ref 32,33)</w:t>
      </w:r>
      <w:r>
        <w:t xml:space="preserve">; this was not the case for the LLM-alloy (</w:t>
      </w:r>
      <w:r>
        <w:rPr>
          <w:b/>
          <w:bCs/>
        </w:rPr>
        <w:t xml:space="preserve">Fig. 2h</w:t>
      </w:r>
      <w:r>
        <w:t xml:space="preserve">).</w:t>
      </w:r>
    </w:p>
    <w:p>
      <w:pPr>
        <w:pStyle w:val="BodyText"/>
      </w:pPr>
      <w:r>
        <w:rPr>
          <w:b/>
          <w:bCs/>
        </w:rPr>
        <w:t xml:space="preserve">Fig. 2</w:t>
      </w:r>
      <w:r>
        <w:t xml:space="preserve"> </w:t>
      </w:r>
      <w:r>
        <w:t xml:space="preserve">shows the following. After the 600 °C anneal (</w:t>
      </w:r>
      <w:r>
        <w:rPr>
          <w:b/>
          <w:bCs/>
        </w:rPr>
        <w:t xml:space="preserve">Fig. 2a</w:t>
      </w:r>
      <w:r>
        <w:t xml:space="preserve">) the wire is stronger even than in the as-drawn state, reaching ≈2250 MPa, yet fails at ≈2.2% strain: the treatment has relieved drawing stresses without restoring formability. The 700 °C condition (</w:t>
      </w:r>
      <w:r>
        <w:rPr>
          <w:b/>
          <w:bCs/>
        </w:rPr>
        <w:t xml:space="preserve">Fig. 2b</w:t>
      </w:r>
      <w:r>
        <w:t xml:space="preserve">) is barely different. At 800 °C (</w:t>
      </w:r>
      <w:r>
        <w:rPr>
          <w:b/>
          <w:bCs/>
        </w:rPr>
        <w:t xml:space="preserve">Fig. 2c</w:t>
      </w:r>
      <w:r>
        <w:t xml:space="preserve">) the behavior changes character — yielding near 1150 MPa is followed by little work hardening (</w:t>
      </w:r>
      <w:r>
        <w:rPr>
          <w:b/>
          <w:bCs/>
        </w:rPr>
        <w:t xml:space="preserve">Table 2</w:t>
      </w:r>
      <w:r>
        <w:t xml:space="preserve">) and the specimen sustains cycling to 10% strain — and 900 °C (</w:t>
      </w:r>
      <w:r>
        <w:rPr>
          <w:b/>
          <w:bCs/>
        </w:rPr>
        <w:t xml:space="preserve">Fig. 2d</w:t>
      </w:r>
      <w:r>
        <w:t xml:space="preserve">) continues the same softening. At 1000 °C (</w:t>
      </w:r>
      <w:r>
        <w:rPr>
          <w:b/>
          <w:bCs/>
        </w:rPr>
        <w:t xml:space="preserve">Fig. 2e</w:t>
      </w:r>
      <w:r>
        <w:t xml:space="preserve">) yielding falls to ≈675 MPa and is followed by steady work hardening, easing further at 1100 °C (</w:t>
      </w:r>
      <w:r>
        <w:rPr>
          <w:b/>
          <w:bCs/>
        </w:rPr>
        <w:t xml:space="preserve">Fig. 2f</w:t>
      </w:r>
      <w:r>
        <w:t xml:space="preserve">) and reaching ≈520 MPa at 1200 °C (</w:t>
      </w:r>
      <w:r>
        <w:rPr>
          <w:b/>
          <w:bCs/>
        </w:rPr>
        <w:t xml:space="preserve">Fig. 2g</w:t>
      </w:r>
      <w:r>
        <w:t xml:space="preserve">).</w:t>
      </w:r>
      <w:r>
        <w:t xml:space="preserve"> </w:t>
      </w:r>
      <w:r>
        <w:rPr>
          <w:b/>
          <w:bCs/>
        </w:rPr>
        <w:t xml:space="preserve">Fig. 2h</w:t>
      </w:r>
      <w:r>
        <w:t xml:space="preserve"> </w:t>
      </w:r>
      <w:r>
        <w:t xml:space="preserve">repeats the 1200 °C condition with the 200 °C / 3 h age applied and is indistinguishable from</w:t>
      </w:r>
      <w:r>
        <w:t xml:space="preserve"> </w:t>
      </w:r>
      <w:r>
        <w:rPr>
          <w:b/>
          <w:bCs/>
        </w:rPr>
        <w:t xml:space="preserve">Fig. 2g</w:t>
      </w:r>
      <w:r>
        <w:t xml:space="preserve">. The feature common to all eight panels, and the one that matters here, is the geometry of the unloading segments: in every case they are straight and parallel to the initial elastic loading line, returning toward zero stress without a hysteresis loop and without strain recovery beyond σ/E. This is what a stress–strain curve looks like when no stress-induced transformation is occurring. All seven annealed conditions of</w:t>
      </w:r>
      <w:r>
        <w:t xml:space="preserve"> </w:t>
      </w:r>
      <w:r>
        <w:rPr>
          <w:b/>
          <w:bCs/>
        </w:rPr>
        <w:t xml:space="preserve">Table 2</w:t>
      </w:r>
      <w:r>
        <w:t xml:space="preserve"> </w:t>
      </w:r>
      <w:r>
        <w:t xml:space="preserve">are therefore shown in full; the remaining row of</w:t>
      </w:r>
      <w:r>
        <w:t xml:space="preserve"> </w:t>
      </w:r>
      <w:r>
        <w:rPr>
          <w:b/>
          <w:bCs/>
        </w:rPr>
        <w:t xml:space="preserve">Table 2</w:t>
      </w:r>
      <w:r>
        <w:t xml:space="preserve">, the as-drawn state, fractures at 2.0% with essentially no plastic range and its properties are read from the table.</w:t>
      </w:r>
    </w:p>
    <w:p>
      <w:pPr>
        <w:pStyle w:val="BodyText"/>
      </w:pPr>
      <w:r>
        <w:rPr>
          <w:b/>
          <w:bCs/>
        </w:rPr>
        <w:t xml:space="preserve">Fig. 3</w:t>
      </w:r>
      <w:r>
        <w:t xml:space="preserve"> </w:t>
      </w:r>
      <w:r>
        <w:t xml:space="preserve">compares the stress–strain behavior of the LLM- and benchmark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benchmark alloy:</w:t>
      </w:r>
      <w:r>
        <w:t xml:space="preserve"> </w:t>
      </w:r>
      <w:r>
        <w:rPr>
          <w:b/>
          <w:bCs/>
        </w:rPr>
        <w:t xml:space="preserve">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benchmark alloy — the stress-induced martensite was stable enough to survive unloading but transformed back to austenite upon heating. By contrast,</w:t>
      </w:r>
      <w:r>
        <w:t xml:space="preserve"> </w:t>
      </w:r>
      <w:r>
        <w:rPr>
          <w:b/>
          <w:bCs/>
        </w:rPr>
        <w:t xml:space="preserve">Fig. 3a</w:t>
      </w:r>
      <w:r>
        <w:t xml:space="preserve"> </w:t>
      </w:r>
      <w:r>
        <w:t xml:space="preserve">shows no strain recovery of the LLM-alloy during this test. The test is reported for one condition of the LLM-alloy, 1200 °C for 1 minute — the same anneal as the benchmark panel — and what it establishes is confined to that state, the γ-majority γ + α duplex quantified in Sec. 3.3: no stress-induced martensite stable enough to survive unloading was present to revert on heating. The unloading evidence is broader, since in each of the eight conditions of</w:t>
      </w:r>
      <w:r>
        <w:t xml:space="preserve"> </w:t>
      </w:r>
      <w:r>
        <w:rPr>
          <w:b/>
          <w:bCs/>
        </w:rPr>
        <w:t xml:space="preserve">Fig. 2</w:t>
      </w:r>
      <w:r>
        <w:t xml:space="preserve"> </w:t>
      </w:r>
      <w:r>
        <w:t xml:space="preserve">the unloading segment returns no strain beyond the elastic σ/E. Within the conditions reported here, then, the LLM-alloy deforms plastically with no pseudo-elastic contribution visible in its unloading records, shows no shape-memory recovery in the one state given the heating test, and stress-induced phase transformation is not among its active deformation mechanisms as processed here.</w:t>
      </w:r>
    </w:p>
    <w:p>
      <w:pPr>
        <w:pStyle w:val="BodyText"/>
      </w:pPr>
      <w:r>
        <w:t xml:space="preserve">The claim made here is the narrow one it should be:</w:t>
      </w:r>
      <w:r>
        <w:t xml:space="preserve"> </w:t>
      </w:r>
      <w:r>
        <w:rPr>
          <w:b/>
          <w:bCs/>
        </w:rPr>
        <w:t xml:space="preserve">no detectable transformation in the LLM-alloy under a route that produced measurable transformation in the benchmark.</w:t>
      </w:r>
      <w:r>
        <w:t xml:space="preserve"> </w:t>
      </w:r>
      <w:r>
        <w:t xml:space="preserve">Separately, the LLM-alloy was also given the 200 °C/3 h age reported to develop pseudo-elasticity in this family (</w:t>
      </w:r>
      <w:r>
        <w:rPr>
          <w:b/>
          <w:bCs/>
        </w:rPr>
        <w:t xml:space="preserve">Fig. 2h</w:t>
      </w:r>
      <w:r>
        <w:t xml:space="preserve">), which the benchmark of</w:t>
      </w:r>
      <w:r>
        <w:t xml:space="preserve"> </w:t>
      </w:r>
      <w:r>
        <w:rPr>
          <w:b/>
          <w:bCs/>
        </w:rPr>
        <w:t xml:space="preserve">Fig. 3b</w:t>
      </w:r>
      <w:r>
        <w:t xml:space="preserve"> </w:t>
      </w:r>
      <w:r>
        <w:t xml:space="preserve">did not receive, and still showed no recovery on unloading.</w:t>
      </w:r>
    </w:p>
    <w:bookmarkEnd w:id="19"/>
    <w:bookmarkStart w:id="20" w:name="X7b0047580ff68e3c8823c4535b0eba55ad6dd86"/>
    <w:p>
      <w:pPr>
        <w:pStyle w:val="Heading2"/>
      </w:pPr>
      <w:r>
        <w:t xml:space="preserve">3.3 Synchrotron diffraction and phase identification</w:t>
      </w:r>
    </w:p>
    <w:p>
      <w:pPr>
        <w:pStyle w:val="FirstParagraph"/>
      </w:pPr>
      <w:r>
        <w:t xml:space="preserve">Synchrotron XRD of samples before and after deformation is shown in</w:t>
      </w:r>
      <w:r>
        <w:t xml:space="preserve"> </w:t>
      </w:r>
      <w:r>
        <w:rPr>
          <w:b/>
          <w:bCs/>
        </w:rPr>
        <w:t xml:space="preserve">Fig. 4</w:t>
      </w:r>
      <w:r>
        <w:t xml:space="preserve">.</w:t>
      </w:r>
      <w:r>
        <w:t xml:space="preserve"> </w:t>
      </w:r>
      <w:r>
        <w:rPr>
          <w:b/>
          <w:bCs/>
        </w:rPr>
        <w:t xml:space="preserve">Fig. 5</w:t>
      </w:r>
      <w:r>
        <w:t xml:space="preserve"> </w:t>
      </w:r>
      <w:r>
        <w:t xml:space="preserve">shows good overall agreement between the experimental data (lower half of each panel) and the results of Rietveld refinement (upper half), both before deformation (</w:t>
      </w:r>
      <w:r>
        <w:rPr>
          <w:b/>
          <w:bCs/>
        </w:rPr>
        <w:t xml:space="preserve">Fig. 5a</w:t>
      </w:r>
      <w:r>
        <w:t xml:space="preserve">) and after unloading from 10% strain (</w:t>
      </w:r>
      <w:r>
        <w:rPr>
          <w:b/>
          <w:bCs/>
        </w:rPr>
        <w:t xml:space="preserve">Fig. 5b</w:t>
      </w:r>
      <w:r>
        <w:t xml:space="preserve">). The fit is measurably better for the deformed specimen (R_wp = 12.5% against 21.4%), and the reason is visible in the patterns themselves: the undeformed wire gives a beaded, spotty ring pattern in which relatively few grains satisfy each Bragg condition, whereas deformation subdivides those grains and produces the more continuous rings on which powder averaging depends. The same grain-statistics argument recurs in a far stronger form for the benchmark alloy, below. Based on the refinement of the undeformed pattern (</w:t>
      </w:r>
      <w:r>
        <w:rPr>
          <w:b/>
          <w:bCs/>
        </w:rPr>
        <w:t xml:space="preserve">Fig. 5a</w:t>
      </w:r>
      <w:r>
        <w:t xml:space="preserve">), the LLM-alloy is estimated to consist of ≈62% FCC γ-phase, ≈34% BCC α-phase, and ≈4% D0₃ Fe₃Al phase by volume (the calculated fractions of Sec. 3.4 are molar); these estimates carry the grain-statistics limitation just described, and no uncertainty is attached to them. In the refinement of the deformed pattern (</w:t>
      </w:r>
      <w:r>
        <w:rPr>
          <w:b/>
          <w:bCs/>
        </w:rPr>
        <w:t xml:space="preserve">Fig. 5b</w:t>
      </w:r>
      <w:r>
        <w:t xml:space="preserve">) the phase fractions were held fixed rather than refined, so no fraction is quoted for that specimen. Its diffraction patterns before and after deformation are essentially the same (</w:t>
      </w:r>
      <w:r>
        <w:rPr>
          <w:b/>
          <w:bCs/>
        </w:rPr>
        <w:t xml:space="preserve">Fig. 4a, b</w:t>
      </w:r>
      <w:r>
        <w:t xml:space="preserve">), and relative peak intensities (</w:t>
      </w:r>
      <w:r>
        <w:rPr>
          <w:b/>
          <w:bCs/>
        </w:rPr>
        <w:t xml:space="preserve">Fig. 6a</w:t>
      </w:r>
      <w:r>
        <w:t xml:space="preserve">) are essentially unchanged: no new diffraction peaks appear and none disappear. An ex-situ measurement made after unloading cannot, on its own, exclude a fully reversible transformation that reverts as the load is removed. The diffraction data are not what carry this conclusion, however, and the order of the evidence should be stated plainly. A transformation reversible enough to leave no diffraction signature after unloading would still have had to produce recoverable strain</w:t>
      </w:r>
      <w:r>
        <w:t xml:space="preserve"> </w:t>
      </w:r>
      <w:r>
        <w:rPr>
          <w:i/>
          <w:iCs/>
        </w:rPr>
        <w:t xml:space="preserve">during</w:t>
      </w:r>
      <w:r>
        <w:t xml:space="preserve"> </w:t>
      </w:r>
      <w:r>
        <w:t xml:space="preserve">that unloading, and the unloading segments of</w:t>
      </w:r>
      <w:r>
        <w:t xml:space="preserve"> </w:t>
      </w:r>
      <w:r>
        <w:rPr>
          <w:b/>
          <w:bCs/>
        </w:rPr>
        <w:t xml:space="preserve">Fig. 2</w:t>
      </w:r>
      <w:r>
        <w:t xml:space="preserve"> </w:t>
      </w:r>
      <w:r>
        <w:t xml:space="preserve">are straight, parallel to the elastic line, and return no strain beyond σ/E in any of the eight conditions shown there (1-minute anneals at 600, 700, 800, 900, 1000, 1100 and 1200 °C, and 1200 °C followed by the 200 °C/3 h age). The loading–unloading–heating test of</w:t>
      </w:r>
      <w:r>
        <w:t xml:space="preserve"> </w:t>
      </w:r>
      <w:r>
        <w:rPr>
          <w:b/>
          <w:bCs/>
        </w:rPr>
        <w:t xml:space="preserve">Fig. 3a</w:t>
      </w:r>
      <w:r>
        <w:t xml:space="preserve"> </w:t>
      </w:r>
      <w:r>
        <w:t xml:space="preserve">closes the remaining route by which a transformation could hide in the 1200 °C/1 min state — the one condition for which that test is reported — since any retained martensite stable enough to survive unloading would revert on heating and show up as strain recovery, as it does for the benchmark in</w:t>
      </w:r>
      <w:r>
        <w:t xml:space="preserve"> </w:t>
      </w:r>
      <w:r>
        <w:rPr>
          <w:b/>
          <w:bCs/>
        </w:rPr>
        <w:t xml:space="preserve">Fig. 3b</w:t>
      </w:r>
      <w:r>
        <w:t xml:space="preserve">. The mechanical measurement is therefore the primary evidence here and the unchanged multi-phase diffraction pattern is corroboration, not the other way round. What ex-situ diffraction genuinely cannot do is observe the material while it is loaded; a loading-stage or in-situ synchrotron measurement is the direct test of that remaining possibility and is named as future work in Sec. 4.4. Together the two lines of evidence point consistently to deformation by dislocation slip rather than stress-induced phase transformation. The shift from sharp, discrete spotty patterns in the undeformed state (</w:t>
      </w:r>
      <w:r>
        <w:rPr>
          <w:b/>
          <w:bCs/>
        </w:rPr>
        <w:t xml:space="preserve">Fig. 4a</w:t>
      </w:r>
      <w:r>
        <w:t xml:space="preserve">) to broader, partially arced rings after deformation (</w:t>
      </w:r>
      <w:r>
        <w:rPr>
          <w:b/>
          <w:bCs/>
        </w:rPr>
        <w:t xml:space="preserve">Fig. 4b</w:t>
      </w:r>
      <w:r>
        <w:t xml:space="preserve">) can be attributed to dislocation activity, which results in peak broadening and/or the formation of tiny sub-grains. In comparison, the benchmark alloy presents a BCC α-dominated pattern with FCC γ-phase and ordered β-NiAl (B2) precipitate diffractions in the undeformed state (</w:t>
      </w:r>
      <w:r>
        <w:rPr>
          <w:b/>
          <w:bCs/>
        </w:rPr>
        <w:t xml:space="preserve">Fig. 4c</w:t>
      </w:r>
      <w:r>
        <w:t xml:space="preserve">); after 8% applied strain, the {111}γ reflection intensifies and the overlapping {200}α redistributes in intensity (</w:t>
      </w:r>
      <w:r>
        <w:rPr>
          <w:b/>
          <w:bCs/>
        </w:rPr>
        <w:t xml:space="preserve">Fig. 4d</w:t>
      </w:r>
      <w:r>
        <w:t xml:space="preserve">), consistent with stress-induced γ formation and partial variant activation. The change in peak intensity after deformation of the benchmark alloy is also clearly shown in</w:t>
      </w:r>
      <w:r>
        <w:t xml:space="preserve"> </w:t>
      </w:r>
      <w:r>
        <w:rPr>
          <w:b/>
          <w:bCs/>
        </w:rPr>
        <w:t xml:space="preserve">Fig. 6b</w:t>
      </w:r>
      <w:r>
        <w:t xml:space="preserve">.</w:t>
      </w:r>
    </w:p>
    <w:p>
      <w:pPr>
        <w:pStyle w:val="BodyText"/>
      </w:pPr>
      <w:r>
        <w:t xml:space="preserve">Two points of nomenclature should be made explicit here, because the convention in this alloy family is the reverse of the one familiar from carbon steels. In Fe-Mn-Al-Ni alloys the parent phase is BCC α and the martensite formed from it is FCC γ. The γ phase is therefore the transformation</w:t>
      </w:r>
      <w:r>
        <w:t xml:space="preserve"> </w:t>
      </w:r>
      <w:r>
        <w:rPr>
          <w:i/>
          <w:iCs/>
        </w:rPr>
        <w:t xml:space="preserve">product</w:t>
      </w:r>
      <w:r>
        <w:t xml:space="preserve">, not the parent, and an alloy rich in γ is one in which less parent phase remains available to transform, not one that is closer to transforming. Second, the refinement resolved γ, α and D0₃ Fe₃Al and nothing else: no ε-HCP martensite and no α′ were required to fit any pattern from either alloy, and the γ in the annealed LLM-alloy is present before loading and is therefore not stress-induced; whether it formed at temperature or on the quench is taken up in Sec. 4.1.</w:t>
      </w:r>
    </w:p>
    <w:p>
      <w:pPr>
        <w:pStyle w:val="BodyText"/>
      </w:pPr>
      <w:r>
        <w:t xml:space="preserve">No B2 superlattice reflection was resolved in the LLM-alloy above the detection limit of the present measurement, and that limit can be quantified rather than merely asserted. At the B2-allowed {200} superlattice position the LLM-alloy carries 0.50–1.06% of maximum intensity, against 3.83–7.17% in the benchmark; and the LLM-alloy’s intensity at that position is itself fully accounted for by D0₃, which produces the same reflection. The discriminating measurement is the D0₃-only {111} reflection, present in the LLM-alloy at 0.49–1.02% of maximum with a signal-to-noise ratio of 16–27 across four patterns (the 1200 °C/1 min wire before and after deformation, and two frames of the cyclically treated rod discussed below), and absent from the benchmark (0.19–0.28%, S/N 2.3–2.9). The benchmark thus carries the B2-allowed reflection without the D0₃-only one, and the LLM-alloy carries both at comparable strength — the signatures of B2 and D0₃ respectively. The B2-allowed intensity in the LLM-alloy is therefore at most about 0.3 of the benchmark’s — a bound on intensity rather than on abundance, since superlattice intensity also scales with the degree of order — and any B2 may be absent altogether. This bounds the claim without over-reaching it: a coherent dispersion finer or more dilute than this limit cannot be excluded by diffraction alone, and transmission electron microscopy or atom-probe tomography would be required to do so.</w:t>
      </w:r>
    </w:p>
    <w:p>
      <w:pPr>
        <w:pStyle w:val="BodyText"/>
      </w:pPr>
      <w:r>
        <w:t xml:space="preserve">The two alloys are not equally amenable to quantitative diffraction analysis, and the reason is itself microstructural. After the identical 1200 °C anneal the LLM-alloy retains a fine equiaxed structure with grain diameters well under 20 µm (</w:t>
      </w:r>
      <w:r>
        <w:rPr>
          <w:b/>
          <w:bCs/>
        </w:rPr>
        <w:t xml:space="preserve">Fig. 1a</w:t>
      </w:r>
      <w:r>
        <w:t xml:space="preserve">), so that enough grains are illuminated for a quantitative, if grain-statistics-limited, refinement. The benchmark alloy instead undergoes pronounced grain growth at this temperature: its Debye–Scherrer rings break up into a small number of discrete, intense spots rather than continuous rings (</w:t>
      </w:r>
      <w:r>
        <w:rPr>
          <w:b/>
          <w:bCs/>
        </w:rPr>
        <w:t xml:space="preserve">Fig. 4c, d</w:t>
      </w:r>
      <w:r>
        <w:t xml:space="preserve">), too few grains contribute to each reflection, and no Rietveld model could be brought into satisfactory agreement with the measured pattern. Phase fractions are therefore reported for the LLM-alloy only, and no attempt is made here to quantify the extent of transformation in the benchmark alloy.</w:t>
      </w:r>
    </w:p>
    <w:p>
      <w:pPr>
        <w:pStyle w:val="BodyText"/>
      </w:pPr>
      <w:r>
        <w:t xml:space="preserve">This restriction does not affect the comparison on which the present work rests. That the benchmark alloy undergoes a stress-induced transformation is not in question: the diffracted intensities change markedly with deformation (</w:t>
      </w:r>
      <w:r>
        <w:rPr>
          <w:b/>
          <w:bCs/>
        </w:rPr>
        <w:t xml:space="preserve">Fig. 6b</w:t>
      </w:r>
      <w:r>
        <w:t xml:space="preserve">), the alloy recovers strain on heating (</w:t>
      </w:r>
      <w:r>
        <w:rPr>
          <w:b/>
          <w:bCs/>
        </w:rPr>
        <w:t xml:space="preserve">Fig. 3b</w:t>
      </w:r>
      <w:r>
        <w:t xml:space="preserve">), and the transformation behavior of this composition is well established in the literature</w:t>
      </w:r>
      <w:r>
        <w:t xml:space="preserve"> </w:t>
      </w:r>
      <w:r>
        <w:t xml:space="preserve">(Ref 12–14)</w:t>
      </w:r>
      <w:r>
        <w:t xml:space="preserve">. What the coarse grain structure withholds is a number for how much of the parent phase transformed, not the fact that it transformed. The question addressed here is the converse one: why the LLM-alloy, given the same 1200 °C anneal, shows no corresponding change (</w:t>
      </w:r>
      <w:r>
        <w:rPr>
          <w:b/>
          <w:bCs/>
        </w:rPr>
        <w:t xml:space="preserve">Fig. 6a</w:t>
      </w:r>
      <w:r>
        <w:t xml:space="preserve">) and is instead dominated by the γ phase.</w:t>
      </w:r>
    </w:p>
    <w:p>
      <w:pPr>
        <w:pStyle w:val="BodyText"/>
      </w:pPr>
      <w:r>
        <w:t xml:space="preserve">The refinement also quantifies the crystallographic texture that Sec. 2.5 anticipated. The LLM-alloy developed strong fiber textures during wire drawing: the inverse pole figures extracted from the E-WIMV orientation distribution (</w:t>
      </w:r>
      <w:r>
        <w:rPr>
          <w:b/>
          <w:bCs/>
        </w:rPr>
        <w:t xml:space="preserve">Fig. 7</w:t>
      </w:r>
      <w:r>
        <w:t xml:space="preserve">) show pronounced {111} and {100} fiber components in the γ phase and a strong {110} fiber component in the α phase, the components characteristic of cold-drawn FCC and BCC metals respectively</w:t>
      </w:r>
      <w:r>
        <w:t xml:space="preserve"> </w:t>
      </w:r>
      <w:r>
        <w:t xml:space="preserve">(Ref 34)</w:t>
      </w:r>
      <w:r>
        <w:t xml:space="preserve">. These textures are the reason the azimuthal dimension was retained in the refinement (Sec. 2.5).</w:t>
      </w:r>
    </w:p>
    <w:p>
      <w:pPr>
        <w:pStyle w:val="BodyText"/>
      </w:pPr>
      <w:r>
        <w:t xml:space="preserve">It is worth noting that the ≈1 mm LLM-alloy rod after the three-cycle abnormal-grain-growth schedule of Sec. 2.2 showed an X-ray diffraction pattern (</w:t>
      </w:r>
      <w:r>
        <w:rPr>
          <w:b/>
          <w:bCs/>
        </w:rPr>
        <w:t xml:space="preserve">Fig. 8</w:t>
      </w:r>
      <w:r>
        <w:t xml:space="preserve">) containing the same phases as</w:t>
      </w:r>
      <w:r>
        <w:t xml:space="preserve"> </w:t>
      </w:r>
      <w:r>
        <w:rPr>
          <w:b/>
          <w:bCs/>
        </w:rPr>
        <w:t xml:space="preserve">Fig. 4a</w:t>
      </w:r>
      <w:r>
        <w:t xml:space="preserve">, but with the intensity along the Debye rings resolved into markedly more discrete spots. Two things follow, and they are separate. The phase constitution is unaffected by the treatment: the same γ, α and D0₃ are present after the cyclic treatment as after the single anneal, which is what a duplex equilibrium at 1200 °C (Sec. 3.4) leads one to expect, although phase fractions were not refined from this pattern and it therefore cannot say whether the γ excess over the calculated equilibrium noted in Sec. 4.1 is also unchanged; and the spottier rings place fewer, larger crystallites in the diffracting volume, so the grains of the rod coarsened. Coarsening without a change of constitution — and, as Sec. 3.5 shows, without the bamboo structure the treatment exists to produce — is the combination that matters here. The drawing texture also survives the treatment: the strong {111} + {100} γ and {110} α fiber components of</w:t>
      </w:r>
      <w:r>
        <w:t xml:space="preserve"> </w:t>
      </w:r>
      <w:r>
        <w:rPr>
          <w:b/>
          <w:bCs/>
        </w:rPr>
        <w:t xml:space="preserve">Fig. 7</w:t>
      </w:r>
      <w:r>
        <w:t xml:space="preserve"> </w:t>
      </w:r>
      <w:r>
        <w:t xml:space="preserve">remain evident in the intensity distribution of</w:t>
      </w:r>
      <w:r>
        <w:t xml:space="preserve"> </w:t>
      </w:r>
      <w:r>
        <w:rPr>
          <w:b/>
          <w:bCs/>
        </w:rPr>
        <w:t xml:space="preserve">Fig. 8</w:t>
      </w:r>
      <w:r>
        <w:t xml:space="preserve">.</w:t>
      </w:r>
    </w:p>
    <w:bookmarkEnd w:id="20"/>
    <w:bookmarkStart w:id="21" w:name="equilibrium-phase-stability"/>
    <w:p>
      <w:pPr>
        <w:pStyle w:val="Heading2"/>
      </w:pPr>
      <w:r>
        <w:t xml:space="preserve">3.4 Equilibrium phase stability</w:t>
      </w:r>
    </w:p>
    <w:p>
      <w:pPr>
        <w:pStyle w:val="FirstParagraph"/>
      </w:pPr>
      <w:r>
        <w:rPr>
          <w:b/>
          <w:bCs/>
        </w:rPr>
        <w:t xml:space="preserve">Fig. 9</w:t>
      </w:r>
      <w:r>
        <w:t xml:space="preserve"> </w:t>
      </w:r>
      <w:r>
        <w:t xml:space="preserve">shows the calculated equilibrium step diagrams for the two alloys as analyzed, using the measured chemistries of</w:t>
      </w:r>
      <w:r>
        <w:t xml:space="preserve"> </w:t>
      </w:r>
      <w:r>
        <w:rPr>
          <w:b/>
          <w:bCs/>
        </w:rPr>
        <w:t xml:space="preserve">Table 1</w:t>
      </w:r>
      <w:r>
        <w:t xml:space="preserve">. The virtual carbon-free composition described in Sec. 2.6 was evaluated on the same basis and is plotted beside them in</w:t>
      </w:r>
      <w:r>
        <w:t xml:space="preserve"> </w:t>
      </w:r>
      <w:r>
        <w:rPr>
          <w:b/>
          <w:bCs/>
        </w:rPr>
        <w:t xml:space="preserve">Fig. 9c</w:t>
      </w:r>
      <w:r>
        <w:t xml:space="preserve">; because all three databases agree on it, it is also reported numerically in</w:t>
      </w:r>
      <w:r>
        <w:t xml:space="preserve"> </w:t>
      </w:r>
      <w:r>
        <w:rPr>
          <w:b/>
          <w:bCs/>
        </w:rPr>
        <w:t xml:space="preserve">Table 3</w:t>
      </w:r>
      <w:r>
        <w:t xml:space="preserve">.</w:t>
      </w:r>
    </w:p>
    <w:p>
      <w:pPr>
        <w:pStyle w:val="BodyText"/>
      </w:pPr>
      <w:r>
        <w:t xml:space="preserve">The benchmark alloy (</w:t>
      </w:r>
      <w:r>
        <w:rPr>
          <w:b/>
          <w:bCs/>
        </w:rPr>
        <w:t xml:space="preserve">Fig. 9a</w:t>
      </w:r>
      <w:r>
        <w:t xml:space="preserve">) reproduces the phase sequence its processing route assumes. A single-phase disordered bcc α field opens at ≈1140 °C and extends to the onset of melting at ≈1325 °C, so the 1200 °C solution treatment of Sec. 2.2 lies inside it, ≈60 °C above its lower edge and ≈120 °C below its upper one (</w:t>
      </w:r>
      <w:r>
        <w:rPr>
          <w:b/>
          <w:bCs/>
        </w:rPr>
        <w:t xml:space="preserve">Table 4</w:t>
      </w:r>
      <w:r>
        <w:t xml:space="preserve">). On cooling below ≈1090 °C the bcc orders: between ≈700 and 1000 °C the calculated bcc is fully B2-ordered and accounts for 19–21% of the alloy, the balance being γ. The equilibrium state below ≈1090 °C is thus B2 + γ, and not the coherent B2-in-α nanostructure on which the benchmark’s super-elasticity actually rests; that nanostructure is a kinetically arrested approach to this equilibrium, obtained by quenching the single-phase α and aging it where B2 can order but γ cannot yet nucleate. What the calculation establishes is that both conditions the processing route requires are available and contiguous: a temperature at which the alloy is single-phase α, and a range immediately below it in which that α has a thermodynamic driving force to order. Nothing about this alloy was fitted here; the calculation is a control: it reproduces the single-phase α solution treatment and the B2 ordering reported for this composition</w:t>
      </w:r>
      <w:r>
        <w:t xml:space="preserve"> </w:t>
      </w:r>
      <w:r>
        <w:t xml:space="preserve">(Ref 18,35)</w:t>
      </w:r>
      <w:r>
        <w:t xml:space="preserve">, and</w:t>
      </w:r>
      <w:r>
        <w:t xml:space="preserve"> </w:t>
      </w:r>
      <w:r>
        <w:rPr>
          <w:b/>
          <w:bCs/>
        </w:rPr>
        <w:t xml:space="preserve">Fig. 4c</w:t>
      </w:r>
      <w:r>
        <w:t xml:space="preserve"> </w:t>
      </w:r>
      <w:r>
        <w:t xml:space="preserve">shows B2 reflections, together with some γ, after the quench, although the benchmark’s phase fractions could not be refined (Sec. 3.3).</w:t>
      </w:r>
    </w:p>
    <w:p>
      <w:pPr>
        <w:pStyle w:val="BodyText"/>
      </w:pPr>
      <w:r>
        <w:t xml:space="preserve">The LLM-alloy behaves differently in every respect that matters (</w:t>
      </w:r>
      <w:r>
        <w:rPr>
          <w:b/>
          <w:bCs/>
        </w:rPr>
        <w:t xml:space="preserve">Fig. 9b</w:t>
      </w:r>
      <w:r>
        <w:t xml:space="preserve">). At 1200 °C it is not single-phase but a duplex mixture of 71.1% α and 28.9% γ, and raising the temperature never removes the γ before the alloy melts: at 1290 °C it still holds 7.4% γ, and at 1300 °C the first liquid appears with γ gone into it, so that the alloy passes directly from α + γ to α + liquid. There is no temperature at which this composition is single-phase α in the solid state. The other two databases return the same sequence by different numbers: PrecHiMn-04 keeps the alloy two-phase at least to 1250 °C and melts it from ≈1295 °C, and mc_fe — the only database here carrying all six elements plus P — keeps it two-phase to 1230 °C and melts it from ≈1240 °C. The three assessments differ on where melting begins, by ≈60 °C, and agree on what matters here: the single-phase α state that the processing route requires does not exist below this composition’s melting point, quite apart from the 1200 °C ceiling that oxidation and furnace contamination impose in practice (Sec. 2.2). This is a statement about the solid state rather than about the solidus, and it does not rest on any one database’s melting temperature (</w:t>
      </w:r>
      <w:r>
        <w:rPr>
          <w:b/>
          <w:bCs/>
        </w:rPr>
        <w:t xml:space="preserve">Table 4</w:t>
      </w:r>
      <w:r>
        <w:t xml:space="preserve">). Between ≈850 and ≈1050 °C the alloy is calculated to be fully austenitic. Ordered bcc appears only below ≈850 °C, reaches at most ≈11% near 410 °C, the lowest converged temperature, and forms within a γ matrix rather than an α one. There is thus no temperature at which this composition can be solution-treated to single-phase α and subsequently aged into coherent ordered precipitates within that α — the sequence on which the benchmark relies.</w:t>
      </w:r>
    </w:p>
    <w:p>
      <w:pPr>
        <w:pStyle w:val="BodyText"/>
      </w:pPr>
      <w:r>
        <w:t xml:space="preserve">Removing carbon and holding every other element fixed creates the missing field (</w:t>
      </w:r>
      <w:r>
        <w:rPr>
          <w:b/>
          <w:bCs/>
        </w:rPr>
        <w:t xml:space="preserve">Fig. 9c</w:t>
      </w:r>
      <w:r>
        <w:t xml:space="preserve">), and does so in all three databases. The single-phase α window opens at ≈1150 °C in mpea-02b, ≈1160 °C in PrecHiMn-04 and ≈1130 °C in mc_fe, and in each it extends up to the solidus of the carbon-free composition (≈1375, ≈1295 and ≈1245 °C respectively): a window between ≈110 and ≈220 °C wide where the carbon-bearing alloy has none. The 1200 °C solution treatment therefore lands inside the single-phase field once carbon is removed, and the alloy reaches 100% α exactly as the benchmark does, in all three databases and despite their covering different element sets (</w:t>
      </w:r>
      <w:r>
        <w:rPr>
          <w:b/>
          <w:bCs/>
        </w:rPr>
        <w:t xml:space="preserve">Tables 3 and 4</w:t>
      </w:r>
      <w:r>
        <w:t xml:space="preserve">).</w:t>
      </w:r>
    </w:p>
    <w:p>
      <w:pPr>
        <w:pStyle w:val="BodyText"/>
      </w:pPr>
      <w:r>
        <w:t xml:space="preserve">Because the LLM-alloy also carries less nickel than the benchmark — 4.2 against 7.8 at% — the calculation was repeated in mpea-02b, the only database here carrying both Ni and C, with nickel stepped across that interval in 0.4 at% increments, iron taking up the difference while Mn, Al, Si and C stayed at their measured values. The two elements separate cleanly.</w:t>
      </w:r>
      <w:r>
        <w:t xml:space="preserve"> </w:t>
      </w:r>
      <w:r>
        <w:rPr>
          <w:b/>
          <w:bCs/>
        </w:rPr>
        <w:t xml:space="preserve">With carbon at its measured 0.45 at%, no single-phase α field exists in the solid state at any nickel content from 4.2 to 7.8 at%: the alloy is still α + γ when melting begins, at ≈1300 °C, at every point in the scan.</w:t>
      </w:r>
      <w:r>
        <w:t xml:space="preserve"> </w:t>
      </w:r>
      <w:r>
        <w:t xml:space="preserve">With carbon removed, the field opens between 1150 and 1190 °C over the same nickel range, 160–230 °C below the solidus, and the alloy is 100% α at 1200 °C at every point in it. Carbon decides whether the field exists at all; nickel moves the carbon-free solvus by ≈40 °C in mpea-02b, in a direction that is database-dependent (below), and creates no field where carbon has removed one.</w:t>
      </w:r>
    </w:p>
    <w:p>
      <w:pPr>
        <w:pStyle w:val="BodyText"/>
      </w:pPr>
      <w:r>
        <w:t xml:space="preserve">The endpoints were re-run in mc_fe as a cross-check, and they agree on everything that matters. With carbon present, mc_fe finds no single-phase α field in the solid state at either nickel content: melting begins at ≈1240 °C (4.2 at% Ni) and ≈1230 °C (7.8 at% Ni) while γ is still present, so the field never opens before the alloy starts to melt. With carbon removed the solvus falls to ≈1130 and ≈1070 °C respectively, well below the corresponding solidus (≈1245 and ≈1270 °C), and 1200 °C again lies inside a fully single-phase α field. The two databases do differ on two secondary points, and they are reported rather than reconciled: added nickel raises the carbon-free solvus in mpea-02b (≈1150 → 1190 °C) but lowers it in mc_fe (≈1130 → 1070 °C), and at 1200 °C with carbon present it makes the alloy slightly more austenitic in mpea-02b (bcc 71.1 → 59.6%) and slightly more ferritic in mc_fe (bcc 61.9 → 75.8%). The defensible statement is therefore that nickel does not open the solution-treatment window, not that it measurably closes it further.</w:t>
      </w:r>
    </w:p>
    <w:p>
      <w:pPr>
        <w:pStyle w:val="BodyText"/>
      </w:pPr>
      <w:r>
        <w:t xml:space="preserve">Nickel is not inert, however. In mpea-02b it governs how much ordered bcc the alloy can form: at 700 °C the ordered fraction rises monotonically from 5.5% at 4.2 at% Ni to 13.9% at 7.8 at%, as expected of a NiAl-based B2. In every case that ordered bcc coexists with 86–94% γ rather than sitting within an α matrix. Three of the 1280 points in the mpea-02b scan failed to converge, all at 400–425 °C in the carbon-bearing series at 4.6 and 5.0 at% Ni; they are reported as gaps rather than as zeros. At the measured nickel content the scan reproduces the ordering curve of</w:t>
      </w:r>
      <w:r>
        <w:t xml:space="preserve"> </w:t>
      </w:r>
      <w:r>
        <w:rPr>
          <w:b/>
          <w:bCs/>
        </w:rPr>
        <w:t xml:space="preserve">Fig. 9b</w:t>
      </w:r>
      <w:r>
        <w:t xml:space="preserve">, which is the internal check that it is consistent with the primary calculation.</w:t>
      </w:r>
    </w:p>
    <w:p>
      <w:pPr>
        <w:pStyle w:val="BodyText"/>
      </w:pPr>
      <w:r>
        <w:t xml:space="preserve">A third question follows from Sec. 2.1. Because the composition melted lies outside the aluminum and manganese range of the hypothesis it was drawn from, the experiment cannot show how a composition inside that range would behave, since none was melted; what the calculation can ask is whether such a composition could reach the parent state the route requires. Carbon-bearing compositions inside the proposed window — its midpoint and the two corners that bracket it in ferrite-forming tendency, three points in a six-element range — were evaluated on the same basis in the same database, and</w:t>
      </w:r>
      <w:r>
        <w:t xml:space="preserve"> </w:t>
      </w:r>
      <w:r>
        <w:rPr>
          <w:b/>
          <w:bCs/>
        </w:rPr>
        <w:t xml:space="preserve">on this calculation none of them can be solution-treated to disordered single-phase α</w:t>
      </w:r>
      <w:r>
        <w:t xml:space="preserve">. At the window’s midpoint, Fe-25Mn-10Al-4.5Ni-2.5Si-0.2C (wt%), the alloy is 86.7% α + 13.3% γ at 1200 °C and, like the alloy actually melted, is still two-phase when melting begins at ≈1290 °C — taking the middle of the range takes the middle of its carbon range along with it. At the corner most favorable to ferrite, Mn 20, Al 12, Ni 6, C 0.1 wt%, which is the extreme of what the window permits, a single-phase bcc field does open, at ≈1240 °C, 40 °C above the annealing ceiling; and the bcc there is calculated to be ordered B2 rather than disordered α, so even that corner does not deliver the disordered parent the route requires. At the opposite corner the alloy is 64.0% α + 36.0% γ at 1200 °C and no single-phase field exists below its solidus (≈1320 °C) at all. Stepping aluminum alone from the nominal composition’s 6.4 wt% to the window’s 12 wt% ceiling, holding every other element at its nominal value (</w:t>
      </w:r>
      <w:r>
        <w:rPr>
          <w:b/>
          <w:bCs/>
        </w:rPr>
        <w:t xml:space="preserve">Table 1</w:t>
      </w:r>
      <w:r>
        <w:t xml:space="preserve">), raises the α fraction at 1200 °C from 76.0 to 97.3% — the nominal composition itself, like the measured one, having no single-phase α field in the solid state — but removes the last γ before melting at only one step, 11.3 wt% Al, where a single-phase field appears at ≈1270 °C, one 10 °C step below the solidus and 70 °C above the annealing ceiling; at every other step γ persists until melting begins (≈1270–1300 °C). In mpea-02b, which omits Si, the aluminum deviation therefore moves the alloy in the direction observed but does not open the processing window, whereas removing carbon returns 100% bcc at 1200 °C at every window point and every step of the aluminum scan (ordered B2 at the ferritic corner). Carbon was permitted by the hypothesis, at 0.1–0.3 wt% as the alternative to boron, with the melt taking the carbon option at its minimum; the window points evaluated at 0.2 and 0.3 wt% carbon have no single-phase α field in the solid state either. A2’s boron option, which carries no carbon, was not evaluated: of the three databases only mc_fe carries boron. As elsewhere in this section, mpea-02b carries no silicon, which was omitted and the remainder renormalized (Sec. 2.6); that approximation is weakest at the ferritic corner, where silicon reaches 6.8 at%. The three window compositions and the nominal composition were therefore re-run in mc_fe, which carries all six elements. It does not return single-phase α at 1200 °C for any of them either, but it disagrees with mpea-02b on their constitution: it places three of them partly molten at that temperature and the fourth fully austenitic, where mpea-02b has all four solid and two-phase. The two databases differ on the solidus of these silicon-rich compositions by up to 300 °C — mc_fe’s liquid onset tracks silicon, falling from ≈1240 °C at the measured 1.1 wt% to ≈1020 °C at 4 wt% — and that difference is reported rather than reconciled; for the measured composition itself they agree to within ≈60 °C. Nor does mc_fe make carbon the controlling element inside the window: with carbon removed it still places the nominal composition, the midpoint and the ferritic corner partly molten at 1200 °C (17.0, 27.1 and 53.5% liquid), and only the austenitic corner becomes single-phase bcc there, so the attribution of the closed window to carbon for these compositions rests on mpea-02b alone. What the two databases share is an outcome rather than a constitution: none of the carbon-bearing window compositions sampled can be solution-treated to single-phase α at 1200 °C in either database.</w:t>
      </w:r>
    </w:p>
    <w:p>
      <w:pPr>
        <w:pStyle w:val="BodyText"/>
      </w:pPr>
      <w:r>
        <w:t xml:space="preserve">Two further predictions bear on phases reported in Sec. 3.3. Carbide phases are calculated to be stable only well below the processing range: M₂₃C₆ appears in mpea-02b only below ≈420 °C, and κ-(Fe,Mn)₃AlC reaches 0.2–2.4% below ≈590 °C in PrecHiMn-04 and 0.1–0.8% between 510 and 540 °C in mc_fe. Neither is expected at or near 1200 °C. Separately, the ordered bcc of PrecHiMn-04 — the only description here capable of returning D0₃ — refines to the disordered A2 state at every temperature calculated, indicating that at ≈12 at% Al this composition lies below the equilibrium Fe₃Al D0₃ field.</w:t>
      </w:r>
    </w:p>
    <w:bookmarkEnd w:id="21"/>
    <w:bookmarkStart w:id="22" w:name="X4ada6c9d0384107904218473ce93cb9a6ae877c"/>
    <w:p>
      <w:pPr>
        <w:pStyle w:val="Heading2"/>
      </w:pPr>
      <w:r>
        <w:t xml:space="preserve">3.5 Response to the abnormal-grain-growth treatment</w:t>
      </w:r>
    </w:p>
    <w:p>
      <w:pPr>
        <w:pStyle w:val="FirstParagraph"/>
      </w:pPr>
      <w:r>
        <w:t xml:space="preserve">The bamboo grain structure on which the benchmark’s strain recovery depends is produced by cyclic treatments of the kind described in Sec. 2.2, and both alloys were given such treatments on the schedules stated there: the LLM-alloy as ≈1–1.3 mm rod on the two- and three-cycle 1200 ↔ 900 °C schedules, and as 0.36 mm wire — together with the 0.64 mm benchmark wire — on the quartz-tube 1200 °C cycle. The cyclic treatments and the tests on the treated material were completed before the equilibrium calculations of Sec. 3.4 were made, so the treatment was chosen without knowledge that no single-phase α state was reachable in this alloy; that is a result of this study, not a premise of its design. It was applied because the comparison required the LLM-alloy to see the benchmark’s full route, of which this treatment is the grain-structure step. Bamboo was not a requirement of the hypothesis (Sec. 1), which held that it would be unnecessary; with an α parent assumed, the treatment was expected to behave in this alloy as in the benchmark, so it was applied to see whether the alloy would develop bamboo under the benchmark’s route, and what it did instead. The outcome is the second, and independent, place at which the two alloys separate — and, as this section will show, the place where the benchmark’s route turns out, on the specimens tested, to be one the LLM-alloy could not use even if it were available.</w:t>
      </w:r>
    </w:p>
    <w:p>
      <w:pPr>
        <w:pStyle w:val="BodyText"/>
      </w:pPr>
      <w:r>
        <w:t xml:space="preserve">The benchmark responds as the literature reports</w:t>
      </w:r>
      <w:r>
        <w:t xml:space="preserve"> </w:t>
      </w:r>
      <w:r>
        <w:t xml:space="preserve">(Ref 12,18)</w:t>
      </w:r>
      <w:r>
        <w:t xml:space="preserve">. After cyclic treatment (Sec. 2.2) its 0.64 mm wire is bamboo throughout in optical metallography (not shown): individual grains occupy the full width of the section, and their boundaries run across the wire rather than along it, so that a tensile axis intersects few boundaries and each grain can accommodate a transformation shape strain with little constraint from its neighbors.</w:t>
      </w:r>
    </w:p>
    <w:p>
      <w:pPr>
        <w:pStyle w:val="BodyText"/>
      </w:pPr>
      <w:r>
        <w:t xml:space="preserve">The LLM-alloy does not respond in the same way. After cyclic treatment (Sec. 2.2) its 0.36 mm wire (</w:t>
      </w:r>
      <w:r>
        <w:rPr>
          <w:b/>
          <w:bCs/>
        </w:rPr>
        <w:t xml:space="preserve">Fig. 1d</w:t>
      </w:r>
      <w:r>
        <w:t xml:space="preserve">) retains a fine, strongly banded duplex structure across the entire width of the section, and no grain approaches the section width. Bamboo formation did not fall short here — it did not begin. This is a claim about grain</w:t>
      </w:r>
      <w:r>
        <w:t xml:space="preserve"> </w:t>
      </w:r>
      <w:r>
        <w:rPr>
          <w:i/>
          <w:iCs/>
        </w:rPr>
        <w:t xml:space="preserve">shape and span</w:t>
      </w:r>
      <w:r>
        <w:t xml:space="preserve">, not about grain size: the diffraction evidence of Sec. 3.3, from the ≈1 mm rod, shows that the treatment does coarsen this alloy at that section size. Coarsening and bamboo formation are being distinguished deliberately throughout this section, because in the benchmark they arrive together and in the LLM-alloy only the first of them does.</w:t>
      </w:r>
    </w:p>
    <w:p>
      <w:pPr>
        <w:pStyle w:val="BodyText"/>
      </w:pPr>
      <w:r>
        <w:t xml:space="preserve">At larger section size the coarsening is recorded directly. Optical metallography (not shown) of the same alloy given the three-cycle 1200 ↔ 900 °C schedule of Sec. 2.2 as rod stock of ≈1 mm records that coarsening occurred there: several grains span a large fraction of the section. What it also records is where coarsening stopped. The coarse grains are separated by a continuous band of fine equiaxed grains running along the rod axis, which the advancing boundaries did not consume. Grain growth in this alloy is therefore not absent but arrested, at a continuous band of fine grains presumed, from the duplex constitution, to be two-phase; the band was not phase-identified.</w:t>
      </w:r>
    </w:p>
    <w:p>
      <w:pPr>
        <w:pStyle w:val="BodyText"/>
      </w:pPr>
      <w:r>
        <w:t xml:space="preserve">That is what the equilibrium calculation of Sec. 3.4 predicts, and the two results are worth stating together because neither was fitted to the other. The benchmark is single-phase α at 1200 °C and so has nothing to pin a migrating boundary; the LLM-alloy is calculated to be a two-phase α + γ mixture at that temperature in all three databases (</w:t>
      </w:r>
      <w:r>
        <w:rPr>
          <w:b/>
          <w:bCs/>
        </w:rPr>
        <w:t xml:space="preserve">Table 3</w:t>
      </w:r>
      <w:r>
        <w:t xml:space="preserve">), and the duplex constitution is observed after quenching from the 40-minute anneal (</w:t>
      </w:r>
      <w:r>
        <w:rPr>
          <w:b/>
          <w:bCs/>
        </w:rPr>
        <w:t xml:space="preserve">Fig. 1c</w:t>
      </w:r>
      <w:r>
        <w:t xml:space="preserve">) and from the cyclic treatment (</w:t>
      </w:r>
      <w:r>
        <w:rPr>
          <w:b/>
          <w:bCs/>
        </w:rPr>
        <w:t xml:space="preserve">Fig. 8</w:t>
      </w:r>
      <w:r>
        <w:t xml:space="preserve">, Sec. 3.3). A boundary migrating through it must drag or bypass a second phase that additional time at temperature will not remove, since the calculation places γ at 29–38% of the alloy in equilibrium at 1200 °C whatever its measured fraction after the quench (Sec. 4.1). The cyclic treatment works in the benchmark because repeated crossing of the γ ↔ α boundary leaves a small number of surviving α grains to grow without competition; in the LLM-alloy, calculated to be α + γ at 1200 °C and to enter single-phase α at no temperature below its melting point (Sec. 3.4), no leg of either cycle places the alloy in a single-phase α field — the 1200 ↔ 900 °C schedule runs between α + γ and the fully-γ field calculated for ≈850–1050 °C — so there is no such condition to exploit.</w:t>
      </w:r>
    </w:p>
    <w:p>
      <w:pPr>
        <w:pStyle w:val="BodyText"/>
      </w:pPr>
      <w:r>
        <w:t xml:space="preserve">Two further mechanisms plausibly reinforce that pinning, and both are consequences of the same duplex constitution. In the rod schedule, repeated cycling between the α + γ field at 1200 °C and the γ field calculated at 900 °C creates numerous transformation interfaces, which act as preferential nucleation sites during each subsequent crossing and so subdivide the prior grains rather than selecting a few to grow; and the partitioning of Mn, Al, Ni and Si between α and γ on every cycle imposes solute drag on migrating boundaries in addition to the second-phase pinning itself. The quartz-tube wire of</w:t>
      </w:r>
      <w:r>
        <w:t xml:space="preserve"> </w:t>
      </w:r>
      <w:r>
        <w:rPr>
          <w:b/>
          <w:bCs/>
        </w:rPr>
        <w:t xml:space="preserve">Fig. 1d</w:t>
      </w:r>
      <w:r>
        <w:t xml:space="preserve"> </w:t>
      </w:r>
      <w:r>
        <w:t xml:space="preserve">is consistent with the same picture — grain growth during its final 1200 °C hold is markedly suppressed relative to the straight 40-minute anneal of</w:t>
      </w:r>
      <w:r>
        <w:t xml:space="preserve"> </w:t>
      </w:r>
      <w:r>
        <w:rPr>
          <w:b/>
          <w:bCs/>
        </w:rPr>
        <w:t xml:space="preserve">Fig. 1c</w:t>
      </w:r>
      <w:r>
        <w:t xml:space="preserve">, despite the longer accumulated time at temperature — but the cold-zone temperature of that run was not recorded, so it is not known which phase fields its cycles crossed.</w:t>
      </w:r>
    </w:p>
    <w:p>
      <w:pPr>
        <w:pStyle w:val="BodyText"/>
      </w:pPr>
      <w:r>
        <w:t xml:space="preserve">The coarsened conditions tested were brittle, long before bamboo dimensions were approached. Holding the 0.36 mm wire at 1200 °C for 40 minutes instead of 1 minute — the treatment whose microstructure is</w:t>
      </w:r>
      <w:r>
        <w:t xml:space="preserve"> </w:t>
      </w:r>
      <w:r>
        <w:rPr>
          <w:b/>
          <w:bCs/>
        </w:rPr>
        <w:t xml:space="preserve">Fig. 1c</w:t>
      </w:r>
      <w:r>
        <w:t xml:space="preserve">, where grains exceed 100 µm — drops the elongation from 25.5% to 0.8%, with the same 200 °C/3 h age applied to both and on the same 127 mm gauge (one specimen each;</w:t>
      </w:r>
      <w:r>
        <w:t xml:space="preserve"> </w:t>
      </w:r>
      <w:r>
        <w:rPr>
          <w:b/>
          <w:bCs/>
        </w:rPr>
        <w:t xml:space="preserve">Fig. 10a</w:t>
      </w:r>
      <w:r>
        <w:t xml:space="preserve"> </w:t>
      </w:r>
      <w:r>
        <w:t xml:space="preserve">against</w:t>
      </w:r>
      <w:r>
        <w:t xml:space="preserve"> </w:t>
      </w:r>
      <w:r>
        <w:rPr>
          <w:b/>
          <w:bCs/>
        </w:rPr>
        <w:t xml:space="preserve">Fig. 2h</w:t>
      </w:r>
      <w:r>
        <w:t xml:space="preserve">); after 80 minutes at 1200 °C it is 0.5% (</w:t>
      </w:r>
      <w:r>
        <w:rPr>
          <w:b/>
          <w:bCs/>
        </w:rPr>
        <w:t xml:space="preserve">Fig. 10b</w:t>
      </w:r>
      <w:r>
        <w:t xml:space="preserve">). The specimen fractures within its first loading segment, before the first unloading point of the protocol is reached. In these specimens grain size rises with time at 1200 °C, so the record ties the loss of ductility to the prolonged and cyclically treated conditions without isolating coarsening as its cause. Bamboo would require coarsening far beyond this, to grains spanning the full section.</w:t>
      </w:r>
    </w:p>
    <w:p>
      <w:pPr>
        <w:pStyle w:val="BodyText"/>
      </w:pPr>
      <w:r>
        <w:t xml:space="preserve">The cyclically treated rod is mechanically poorer in the same manner, which matters because the coarsened state is the one in which the benchmark is useful.</w:t>
      </w:r>
      <w:r>
        <w:t xml:space="preserve"> </w:t>
      </w:r>
      <w:r>
        <w:rPr>
          <w:b/>
          <w:bCs/>
        </w:rPr>
        <w:t xml:space="preserve">Fig. 10</w:t>
      </w:r>
      <w:r>
        <w:t xml:space="preserve"> </w:t>
      </w:r>
      <w:r>
        <w:t xml:space="preserve">collects every tensile record of the LLM-alloy in the prolonged-anneal and cyclically treated conditions, plotted from the raw load–extension exports with the gauge of each test stated, since the gauges differ (Sec. 2.4). The two two-cycle rod specimens (≈1.3 mm, 127 mm gauge) failed at 568 and 608 MPa after 1.0% elongation, each surviving a single unloading–reloading cycle (</w:t>
      </w:r>
      <w:r>
        <w:rPr>
          <w:b/>
          <w:bCs/>
        </w:rPr>
        <w:t xml:space="preserve">Fig. 10c</w:t>
      </w:r>
      <w:r>
        <w:t xml:space="preserve">) — the 40-minute result again, reached by a different route. Of the two three-cycle-plus-age rod specimens, both recorded at 1.06 mm, the one tested on the 127 mm gauge failed at 478 MPa and 0.5% (</w:t>
      </w:r>
      <w:r>
        <w:rPr>
          <w:b/>
          <w:bCs/>
        </w:rPr>
        <w:t xml:space="preserve">Fig. 10d</w:t>
      </w:r>
      <w:r>
        <w:t xml:space="preserve">), while the one tested on a 6.0 mm gauge reached 1006 MPa and cycled to 11.9% (</w:t>
      </w:r>
      <w:r>
        <w:rPr>
          <w:b/>
          <w:bCs/>
        </w:rPr>
        <w:t xml:space="preserve">Fig. 10e</w:t>
      </w:r>
      <w:r>
        <w:t xml:space="preserve">); on a 6.0 mm gauge that elongation corresponds to about 0.7 mm of crosshead travel, much of it load-train and grip compliance, so the figure is not a demonstration of ductility and is not compared with the 127 mm elongations. Boundary cracking is visible on the specimen surface under stereomicroscope examination (not shown) after the three-cycle treatment followed by the 200 °C/3 h age. No general claim about the strength of the coarsened condition is made on this evidence; what the record supports is that the treatment introduces boundary cracking and large specimen-to-specimen scatter in the rod without producing the grain structure it was applied to produce. The 0.36 mm wire of the quartz-tube cycle — the stock of</w:t>
      </w:r>
      <w:r>
        <w:t xml:space="preserve"> </w:t>
      </w:r>
      <w:r>
        <w:rPr>
          <w:b/>
          <w:bCs/>
        </w:rPr>
        <w:t xml:space="preserve">Fig. 1d</w:t>
      </w:r>
      <w:r>
        <w:t xml:space="preserve">, which did not coarsen — behaves differently: it cycled to 8% and fractured at ≈26% on a 25.4 mm gauge, at 1020 MPa (</w:t>
      </w:r>
      <w:r>
        <w:rPr>
          <w:b/>
          <w:bCs/>
        </w:rPr>
        <w:t xml:space="preserve">Fig. 10f</w:t>
      </w:r>
      <w:r>
        <w:t xml:space="preserve">) — a strain not comparable with those on the 127 mm gauge (Sec. 2.4), but from a specimen that did not fracture early.</w:t>
      </w:r>
    </w:p>
    <w:p>
      <w:pPr>
        <w:pStyle w:val="BodyText"/>
      </w:pPr>
      <w:r>
        <w:t xml:space="preserve">Two things the record does not contain should be stated. No loading–unloading–heating test on a cyclically treated specimen of either alloy is reported here; the two specimens of</w:t>
      </w:r>
      <w:r>
        <w:t xml:space="preserve"> </w:t>
      </w:r>
      <w:r>
        <w:rPr>
          <w:b/>
          <w:bCs/>
        </w:rPr>
        <w:t xml:space="preserve">Fig. 3</w:t>
      </w:r>
      <w:r>
        <w:t xml:space="preserve"> </w:t>
      </w:r>
      <w:r>
        <w:t xml:space="preserve">are the only ones for which that test is reported. The rod specimens fractured at 0.5–1.0% on the 127 mm gauge, below the 3% strain of the heating protocol, and the cyclically treated 0.36 mm wire of</w:t>
      </w:r>
      <w:r>
        <w:t xml:space="preserve"> </w:t>
      </w:r>
      <w:r>
        <w:rPr>
          <w:b/>
          <w:bCs/>
        </w:rPr>
        <w:t xml:space="preserve">Fig. 1d</w:t>
      </w:r>
      <w:r>
        <w:t xml:space="preserve"> </w:t>
      </w:r>
      <w:r>
        <w:t xml:space="preserve">was not given that test. What the cyclic records of</w:t>
      </w:r>
      <w:r>
        <w:t xml:space="preserve"> </w:t>
      </w:r>
      <w:r>
        <w:rPr>
          <w:b/>
          <w:bCs/>
        </w:rPr>
        <w:t xml:space="preserve">Fig. 10</w:t>
      </w:r>
      <w:r>
        <w:t xml:space="preserve"> </w:t>
      </w:r>
      <w:r>
        <w:t xml:space="preserve">do show is the unloading geometry of</w:t>
      </w:r>
      <w:r>
        <w:t xml:space="preserve"> </w:t>
      </w:r>
      <w:r>
        <w:rPr>
          <w:b/>
          <w:bCs/>
        </w:rPr>
        <w:t xml:space="preserve">Fig. 2</w:t>
      </w:r>
      <w:r>
        <w:t xml:space="preserve">: every unloading segment that was recorded — one in each two-cycle rod, eight in the rod tested on the 6.0 mm gauge and eight in the quartz-tube wire — is straight, parallel to the preceding loading line, and returns no strain beyond σ/E. Nor were phase fractions refined for the 40-minute condition of</w:t>
      </w:r>
      <w:r>
        <w:t xml:space="preserve"> </w:t>
      </w:r>
      <w:r>
        <w:rPr>
          <w:b/>
          <w:bCs/>
        </w:rPr>
        <w:t xml:space="preserve">Fig. 1c</w:t>
      </w:r>
      <w:r>
        <w:t xml:space="preserve">, which was examined optically only, or for the cyclically treated rod of</w:t>
      </w:r>
      <w:r>
        <w:t xml:space="preserve"> </w:t>
      </w:r>
      <w:r>
        <w:rPr>
          <w:b/>
          <w:bCs/>
        </w:rPr>
        <w:t xml:space="preserve">Fig. 8</w:t>
      </w:r>
      <w:r>
        <w:t xml:space="preserve"> </w:t>
      </w:r>
      <w:r>
        <w:t xml:space="preserve">(Sec. 3.3); the comparison of phase constitution between</w:t>
      </w:r>
      <w:r>
        <w:t xml:space="preserve"> </w:t>
      </w:r>
      <w:r>
        <w:rPr>
          <w:b/>
          <w:bCs/>
        </w:rPr>
        <w:t xml:space="preserve">Fig. 1a</w:t>
      </w:r>
      <w:r>
        <w:t xml:space="preserve"> </w:t>
      </w:r>
      <w:r>
        <w:t xml:space="preserve">and</w:t>
      </w:r>
      <w:r>
        <w:t xml:space="preserve"> </w:t>
      </w:r>
      <w:r>
        <w:rPr>
          <w:b/>
          <w:bCs/>
        </w:rPr>
        <w:t xml:space="preserve">Fig. 1c</w:t>
      </w:r>
      <w:r>
        <w:t xml:space="preserve"> </w:t>
      </w:r>
      <w:r>
        <w:t xml:space="preserve">is therefore qualitative — both are duplex — and is stated as such.</w:t>
      </w:r>
    </w:p>
    <w:p>
      <w:pPr>
        <w:pStyle w:val="BodyText"/>
      </w:pPr>
      <w:r>
        <w:t xml:space="preserve">Two limits on this comparison should be stated. The two alloys were treated at their respective final sizes, 0.36 mm for the LLM-alloy against 0.64 mm for the benchmark, so quench rates differed and the ratio of surface to boundary area differed with them; and the ≈1 mm LLM-alloy rod is a third size again. Section size is not incidental to abnormal grain growth, and a like-for-like size comparison was not performed. The direction of the effect nevertheless runs against the LLM-alloy’s favor on the conventional argument, since bamboo structures form more readily in thinner sections and it is the thinner of the two wires that failed to coarsen at all.</w:t>
      </w:r>
    </w:p>
    <w:p>
      <w:pPr>
        <w:pStyle w:val="BodyText"/>
      </w:pPr>
      <w:r>
        <w:t xml:space="preserve">It should be said plainly that bamboo structure is not a target for this alloy, and the results above are the reason. The treatment was applied because it is the benchmark’s route to super-elasticity and the comparison had to be made; but the wire that reached 100 µm grains fell below 1% elongation (</w:t>
      </w:r>
      <w:r>
        <w:rPr>
          <w:b/>
          <w:bCs/>
        </w:rPr>
        <w:t xml:space="preserve">Fig. 10a</w:t>
      </w:r>
      <w:r>
        <w:t xml:space="preserve">), and nothing in this record suggests that carrying it on to grains of 360 µm would leave a usable wire. The AGG experiment therefore closes a route rather than missing a target. What it returned is the growth of the duplex structure itself — both constituents coarsening together, still interlocked, still pinning each other; the rod metallography records this, and the spottier diffraction pattern of the rod (</w:t>
      </w:r>
      <w:r>
        <w:rPr>
          <w:b/>
          <w:bCs/>
        </w:rPr>
        <w:t xml:space="preserve">Fig. 8</w:t>
      </w:r>
      <w:r>
        <w:t xml:space="preserve">, Sec. 3.3) is consistent with it.</w:t>
      </w:r>
    </w:p>
    <w:p>
      <w:pPr>
        <w:pStyle w:val="BodyText"/>
      </w:pPr>
      <w:r>
        <w:t xml:space="preserve">The more fundamental reason not to pursue the treatment further lies in what abnormal grain growth does and does not do. Bamboo structure does not confer a transformation on a material; it removes the inter-granular constraint that limits one, and so raises the recoverable strain of a material that already transforms. The benchmark demonstrates this within the present data set. The single-anneal condition of</w:t>
      </w:r>
      <w:r>
        <w:t xml:space="preserve"> </w:t>
      </w:r>
      <w:r>
        <w:rPr>
          <w:b/>
          <w:bCs/>
        </w:rPr>
        <w:t xml:space="preserve">Fig. 3b</w:t>
      </w:r>
      <w:r>
        <w:t xml:space="preserve"> </w:t>
      </w:r>
      <w:r>
        <w:t xml:space="preserve">is not a bamboo structure — bamboo requires the cyclic treatment of Sec. 2.2, and that specimen received one anneal — yet the benchmark transforms there: ≈0.5% recoverable strain on heating after 1 minute at 1200 °C (Sec. 3.2), against the 5–8% the same composition reaches once bamboo is developed</w:t>
      </w:r>
      <w:r>
        <w:t xml:space="preserve"> </w:t>
      </w:r>
      <w:r>
        <w:t xml:space="preserve">(Ref 12)</w:t>
      </w:r>
      <w:r>
        <w:t xml:space="preserve">. The tendency is plainly detectable an order of magnitude below the grain structure that optimizes it. In the LLM-alloy no such signal appears in any condition reported here: not on unloading in the seven 1-minute anneals of</w:t>
      </w:r>
      <w:r>
        <w:t xml:space="preserve"> </w:t>
      </w:r>
      <w:r>
        <w:rPr>
          <w:b/>
          <w:bCs/>
        </w:rPr>
        <w:t xml:space="preserve">Fig. 2</w:t>
      </w:r>
      <w:r>
        <w:t xml:space="preserve"> </w:t>
      </w:r>
      <w:r>
        <w:t xml:space="preserve">(600–1200 °C), not with the 200 °C/3 h age reported to develop pseudo-elasticity in this family (</w:t>
      </w:r>
      <w:r>
        <w:rPr>
          <w:b/>
          <w:bCs/>
        </w:rPr>
        <w:t xml:space="preserve">Fig. 2h</w:t>
      </w:r>
      <w:r>
        <w:t xml:space="preserve">), not on heating in the one condition given the loading–unloading–heating test (</w:t>
      </w:r>
      <w:r>
        <w:rPr>
          <w:b/>
          <w:bCs/>
        </w:rPr>
        <w:t xml:space="preserve">Fig. 3a</w:t>
      </w:r>
      <w:r>
        <w:t xml:space="preserve">), and not on unloading in the cyclically treated conditions of</w:t>
      </w:r>
      <w:r>
        <w:t xml:space="preserve"> </w:t>
      </w:r>
      <w:r>
        <w:rPr>
          <w:b/>
          <w:bCs/>
        </w:rPr>
        <w:t xml:space="preserve">Fig. 10</w:t>
      </w:r>
      <w:r>
        <w:t xml:space="preserve">. The cyclically treated condition has not been put through the heating test.</w:t>
      </w:r>
    </w:p>
    <w:p>
      <w:pPr>
        <w:pStyle w:val="BodyText"/>
      </w:pPr>
      <w:r>
        <w:t xml:space="preserve">Nor can grain size be offered as the explanation for that difference, which is worth stating because the two alloys did not reach the same grain size under the common route: at 1200 °C the LLM-alloy holds a structure well under 20 µm (</w:t>
      </w:r>
      <w:r>
        <w:rPr>
          <w:b/>
          <w:bCs/>
        </w:rPr>
        <w:t xml:space="preserve">Fig. 1a</w:t>
      </w:r>
      <w:r>
        <w:t xml:space="preserve">) while the benchmark coarsens pronouncedly (Sec. 3.3). The LLM-alloy, however, shows no transformation at the fine end of its own range (the sub-20 µm condition,</w:t>
      </w:r>
      <w:r>
        <w:t xml:space="preserve"> </w:t>
      </w:r>
      <w:r>
        <w:rPr>
          <w:b/>
          <w:bCs/>
        </w:rPr>
        <w:t xml:space="preserve">Figs. 2g and 3a</w:t>
      </w:r>
      <w:r>
        <w:t xml:space="preserve">) nor in the coarsened rod that survived a loading cycle (</w:t>
      </w:r>
      <w:r>
        <w:rPr>
          <w:b/>
          <w:bCs/>
        </w:rPr>
        <w:t xml:space="preserve">Fig. 10c, e</w:t>
      </w:r>
      <w:r>
        <w:t xml:space="preserve">), and the 40-minute wire that takes it past 100 µm (</w:t>
      </w:r>
      <w:r>
        <w:rPr>
          <w:b/>
          <w:bCs/>
        </w:rPr>
        <w:t xml:space="preserve">Fig. 1c</w:t>
      </w:r>
      <w:r>
        <w:t xml:space="preserve">) fractures before an unloading segment can be recorded (</w:t>
      </w:r>
      <w:r>
        <w:rPr>
          <w:b/>
          <w:bCs/>
        </w:rPr>
        <w:t xml:space="preserve">Fig. 10a</w:t>
      </w:r>
      <w:r>
        <w:t xml:space="preserve">). A variable that is held at zero across the change in grain size the record covers is not the variable that grain size controls. Abnormal grain growth multiplies a transformation strain; it does not create one, and there is nothing here for it to multiply. Bamboo raises a recoverable strain that already exists; whether it could create one in an alloy that shows none is not tested here, because the LLM-alloy rod does not survive the treatment to the test. That, rather than the difficulty of the treatment or the embrittlement described above, is the reason the route was not carried further.</w:t>
      </w:r>
    </w:p>
    <w:p>
      <w:pPr>
        <w:pStyle w:val="BodyText"/>
      </w:pPr>
      <w:r>
        <w:t xml:space="preserve">The consequence for the hypothesis under test is then narrow and specific. That hypothesis (Sec. 1) held that the composition would show super-elasticity</w:t>
      </w:r>
      <w:r>
        <w:t xml:space="preserve"> </w:t>
      </w:r>
      <w:r>
        <w:rPr>
          <w:i/>
          <w:iCs/>
        </w:rPr>
        <w:t xml:space="preserve">without</w:t>
      </w:r>
      <w:r>
        <w:t xml:space="preserve"> </w:t>
      </w:r>
      <w:r>
        <w:t xml:space="preserve">requiring the bamboo grain structure that makes the benchmark difficult to produce industrially. The premise is not contradicted here — bamboo was not reached, and the coarsened conditions tested were brittle (one specimen each, with grain size confounded with time at temperature). What fails is the conclusion: the alloy does not transform in the fine-grained condition either, so removing the need for bamboo bought nothing. The calculated duplex constitution offers one account of both halves of that sentence — stabilizing the fine structure against the AGG treatment and, on the interpretation of Sec. 4.1, suppressing the transformation. An alloy design workflow that had checked phase constitution at the solution-treatment temperature would have flagged that constitution before any metal was melted — a point taken up in Sec. 4.4.</w:t>
      </w:r>
    </w:p>
    <w:p>
      <w:r>
        <w:pict>
          <v:rect style="width:0;height:1.5pt" o:hralign="center" o:hrstd="t" o:hr="t"/>
        </w:pict>
      </w:r>
    </w:p>
    <w:bookmarkEnd w:id="22"/>
    <w:bookmarkEnd w:id="23"/>
    <w:bookmarkStart w:id="28" w:name="discussion"/>
    <w:p>
      <w:pPr>
        <w:pStyle w:val="Heading1"/>
      </w:pPr>
      <w:r>
        <w:t xml:space="preserve">4. Discussion</w:t>
      </w:r>
    </w:p>
    <w:bookmarkStart w:id="24" w:name="X07a32e9eb441cfc20c84eb8c17dd36f5d20814f"/>
    <w:p>
      <w:pPr>
        <w:pStyle w:val="Heading2"/>
      </w:pPr>
      <w:r>
        <w:t xml:space="preserve">4.1 Interpreting the absence of stress-induced phase transformation</w:t>
      </w:r>
    </w:p>
    <w:p>
      <w:pPr>
        <w:pStyle w:val="FirstParagraph"/>
      </w:pPr>
      <w:r>
        <w:t xml:space="preserve">Four levels of evidence run through this section, and they should be kept apart. What was measured is that, in each condition reported here — the seven 1-minute anneals of</w:t>
      </w:r>
      <w:r>
        <w:t xml:space="preserve"> </w:t>
      </w:r>
      <w:r>
        <w:rPr>
          <w:b/>
          <w:bCs/>
        </w:rPr>
        <w:t xml:space="preserve">Fig. 2</w:t>
      </w:r>
      <w:r>
        <w:t xml:space="preserve"> </w:t>
      </w:r>
      <w:r>
        <w:t xml:space="preserve">at 600, 700, 800, 900, 1000, 1100 and 1200 °C, the 1200 °C anneal followed by the 200 °C/3 h age (</w:t>
      </w:r>
      <w:r>
        <w:rPr>
          <w:b/>
          <w:bCs/>
        </w:rPr>
        <w:t xml:space="preserve">Fig. 2h</w:t>
      </w:r>
      <w:r>
        <w:t xml:space="preserve">), the loading–unloading–heating test at 1200 °C/1 min (</w:t>
      </w:r>
      <w:r>
        <w:rPr>
          <w:b/>
          <w:bCs/>
        </w:rPr>
        <w:t xml:space="preserve">Fig. 3a</w:t>
      </w:r>
      <w:r>
        <w:t xml:space="preserve">), and the cyclically treated conditions whose unloading segments were recorded (</w:t>
      </w:r>
      <w:r>
        <w:rPr>
          <w:b/>
          <w:bCs/>
        </w:rPr>
        <w:t xml:space="preserve">Fig. 10c, f</w:t>
      </w:r>
      <w:r>
        <w:t xml:space="preserve">, and</w:t>
      </w:r>
      <w:r>
        <w:t xml:space="preserve"> </w:t>
      </w:r>
      <w:r>
        <w:rPr>
          <w:b/>
          <w:bCs/>
        </w:rPr>
        <w:t xml:space="preserve">Fig. 10e</w:t>
      </w:r>
      <w:r>
        <w:t xml:space="preserve">, whose 6.0 mm gauge is compliance-dominated, Sec. 2.4) — the LLM-alloy recovered no strain beyond σ/E on unloading; that after the 1200 °C/1 min anneal it recovered none on heating (</w:t>
      </w:r>
      <w:r>
        <w:rPr>
          <w:b/>
          <w:bCs/>
        </w:rPr>
        <w:t xml:space="preserve">Fig. 3a</w:t>
      </w:r>
      <w:r>
        <w:t xml:space="preserve">), while the benchmark given the same anneal recovered ≈0.5% (</w:t>
      </w:r>
      <w:r>
        <w:rPr>
          <w:b/>
          <w:bCs/>
        </w:rPr>
        <w:t xml:space="preserve">Fig. 3b</w:t>
      </w:r>
      <w:r>
        <w:t xml:space="preserve">); and that the diffraction pattern of the 1200 °C/1 min wire, γ-majority after the quench (Sec. 3.3), was essentially unchanged by 10% strain (</w:t>
      </w:r>
      <w:r>
        <w:rPr>
          <w:b/>
          <w:bCs/>
        </w:rPr>
        <w:t xml:space="preserve">Fig. 4a, b</w:t>
      </w:r>
      <w:r>
        <w:t xml:space="preserve">). What is calculated is that no solution treatment within the processing window accessible here brings this composition to single-phase α, and that Sec. 3.4 finds no such field in the solid state at all; that statement reaches beyond the conditions reported to the composition itself, but it rests on equilibrium calculation in three databases rather than on measurement. What is open is why the quenched wire holds more γ than the calculation places at 1200 °C, and therefore whether the scarcity of α after the quench was already present at 1200 °C or arose on cooling; the two readings are set out below and are not resolved here. What is not claimed is that the composition is incapable of super-elasticity under any processing: a solution or aging treatment not tried here is untested (Sec. 4.4), and what this paper evaluates is the potential of this alloy as processed by the one route used here.</w:t>
      </w:r>
    </w:p>
    <w:p>
      <w:pPr>
        <w:pStyle w:val="BodyText"/>
      </w:pPr>
      <w:r>
        <w:t xml:space="preserve">The absence of super-elasticity and of a shape-memory response in the LLM-hypothesized alloy (measured composition 51.5Fe-29.8Mn-11.9Al-4.2Ni-2.0Si-0.45C at%), in the conditions just listed, is interpreted here in terms of a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LLM-alloy, as quenched from 1200 °C, is structurally dominated by the γ-phase (≈62%), whereas the α-phase accounts for only ≈34% of the volume fraction, with a further ≈4% present as ordered D0₃ (Sec. 3.3). Compared to the benchmark alloy (43.5Fe-34Mn-15Al-7.5Ni at%), the LLM-alloy has less Mn, Al, and Ni, but higher Fe, Si, and C. It is known that Fe, Si, and Al stabilize the BCC α-phase, while Mn, Ni, and C stabilize the FCC γ-phase</w:t>
      </w:r>
      <w:r>
        <w:t xml:space="preserve"> </w:t>
      </w:r>
      <w:r>
        <w:t xml:space="preserve">(Ref 36)</w:t>
      </w:r>
      <w:r>
        <w:t xml:space="preserve">. The hypothesis under test (Sec. 1)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 and the equilibrium calculations of Sec. 3.4 identify carbon as the element that closes the single-phase α field at the solution-treatment temperature (Sec. 4.2).</w:t>
      </w:r>
    </w:p>
    <w:p>
      <w:pPr>
        <w:pStyle w:val="BodyText"/>
      </w:pPr>
      <w:r>
        <w:t xml:space="preserve">What was and was not anticipated can be stated precisely, because the design report survives and is supplied as Online Resource 1 (Sec. 2.1). For this composition the report specified a BCC parent phase carrying coherent 5–15 nm β precipitates of Ni(Al,Si) type, and predicted 5–8% recoverable strain at a transformation stress of 400–700 MPa. It made no prediction of phase fractions, calculated no phase diagram, and identified no solution-treatment window — it named the microstructure it wanted without establishing that the composition could produce it. The ordered phase that actually formed does not appear in the report at all: D0₃ and Fe₃Al occur nowhere in its forty-one pages. That is not a general blind spot for ordered Fe-Al chemistry, since κ-carbide is discussed at length and one of the report’s six candidate families is built explicitly on κ-(Fe,Mn,Cr)₃AlC in an Fe-Al-Cr-Mn-C alloy at 5–12 wt% Al — a range that brackets the 6.4 wt% eventually melted. The ordering chemistry was present in the report’s reasoning but attached to a different candidate, and was not carried across to the one that was made. The relevant failure is one of transfer rather than of knowledge, which is both a more tractable problem and a more specific caution than an appeal to the model’s general grasp of metallurgy.</w:t>
      </w:r>
    </w:p>
    <w:p>
      <w:pPr>
        <w:pStyle w:val="BodyText"/>
      </w:pPr>
      <w:r>
        <w:t xml:space="preserve">The thermodynamic calculations place part of this argument on a quantitative footing and change its emphasis. They do not address the driving force for transformation of the α that is present, which is not evaluated here; what they show is that no accessible heat treatment produces a single-phase α parent in the first place. At 1200 °C the alloy is calculated to be a two-phase α + γ mixture in all three databases, and in none of them does a single-phase α field open before the alloy begins to melt — at ≈1240 °C in mc_fe and ≈1295 °C in mpea-02b and PrecHiMn-04 — so a single-phase parent state is, on the calculation, unreachable in the solid state, independently of the 1200 °C oxidation limit of the process (Sec. 3.4). The duplex constitution that the calculation predicts at the solution-treatment temperature is what is observed in kind, though not in proportion: the interlocked two-phase morphology of</w:t>
      </w:r>
      <w:r>
        <w:t xml:space="preserve"> </w:t>
      </w:r>
      <w:r>
        <w:rPr>
          <w:b/>
          <w:bCs/>
        </w:rPr>
        <w:t xml:space="preserve">Fig. 1b</w:t>
      </w:r>
      <w:r>
        <w:t xml:space="preserve">, the Al-rich and Mn-rich EDS partitioning that accompanies it, and the coexisting α and γ reflections of</w:t>
      </w:r>
      <w:r>
        <w:t xml:space="preserve"> </w:t>
      </w:r>
      <w:r>
        <w:rPr>
          <w:b/>
          <w:bCs/>
        </w:rPr>
        <w:t xml:space="preserve">Figs. 4a and 5</w:t>
      </w:r>
      <w:r>
        <w:t xml:space="preserve">. It also offers an account of why the</w:t>
      </w:r>
      <w:r>
        <w:t xml:space="preserve"> </w:t>
      </w:r>
      <w:r>
        <w:rPr>
          <w:i/>
          <w:iCs/>
        </w:rPr>
        <w:t xml:space="preserve">constitution</w:t>
      </w:r>
      <w:r>
        <w:t xml:space="preserve"> </w:t>
      </w:r>
      <w:r>
        <w:t xml:space="preserve">is insensitive to annealing time even though the grain size is not: the duplex state is observed after 40 minutes at 1200 °C (</w:t>
      </w:r>
      <w:r>
        <w:rPr>
          <w:b/>
          <w:bCs/>
        </w:rPr>
        <w:t xml:space="preserve">Fig. 1c</w:t>
      </w:r>
      <w:r>
        <w:t xml:space="preserve">) and after the full cyclic treatment (Sec. 3.3) because both phases are calculated to be in equilibrium at that temperature, so neither is removed by longer holding; what the calculation does not reproduce is the measured proportion of the two, and that discrepancy is taken up next. What prolonged annealing changes is the scale of that state rather than its identity — both constituents coarsen together, and the coarsened conditions tested were brittle (Sec. 3.5). That the same calculations independently reproduce the benchmark alloy’s single-phase α field (</w:t>
      </w:r>
      <w:r>
        <w:rPr>
          <w:b/>
          <w:bCs/>
        </w:rPr>
        <w:t xml:space="preserve">Fig. 9a</w:t>
      </w:r>
      <w:r>
        <w:t xml:space="preserve">), which was not fitted here, is what licenses their application to the test alloy.</w:t>
      </w:r>
    </w:p>
    <w:p>
      <w:pPr>
        <w:pStyle w:val="BodyText"/>
      </w:pPr>
      <w:r>
        <w:t xml:space="preserve">One quantitative discrepancy should be stated plainly. The calculations place α in the majority at 1200 °C (62–71%,</w:t>
      </w:r>
      <w:r>
        <w:t xml:space="preserve"> </w:t>
      </w:r>
      <w:r>
        <w:rPr>
          <w:b/>
          <w:bCs/>
        </w:rPr>
        <w:t xml:space="preserve">Table 3</w:t>
      </w:r>
      <w:r>
        <w:t xml:space="preserve">), whereas the refinement of the quenched wire places γ in the majority (≈62%); the two agree that the alloy is duplex but not on which phase dominates. The inversion is large — ≈62% γ refined against 29–38% calculated — and it is not peculiar to one pattern, since the pattern of a separate specimen of the same wire after deformation is essentially unchanged in relative intensities (</w:t>
      </w:r>
      <w:r>
        <w:rPr>
          <w:b/>
          <w:bCs/>
        </w:rPr>
        <w:t xml:space="preserve">Fig. 6a</w:t>
      </w:r>
      <w:r>
        <w:t xml:space="preserve">), although that comparison is qualitative, the phase fractions having been held fixed in the refinement of the deformed pattern (Sec. 3.3). Two readings are open and the present data do not decide between them. The first is that the γ was present at 1200 °C in more than the calculated amount, either because the databases — which themselves span 62 to 71% α — overestimate α at that temperature, or because the wire, which enters the strand anneal cold-drawn ≈85% after its last process anneal at 1000 °C (Sec. 2.1), a temperature at which the primary database calculates it to be fully austenitic (</w:t>
      </w:r>
      <w:r>
        <w:rPr>
          <w:b/>
          <w:bCs/>
        </w:rPr>
        <w:t xml:space="preserve">Fig. 9b</w:t>
      </w:r>
      <w:r>
        <w:t xml:space="preserve">), was not carried to the 1200 °C equilibrium in the time available; phase fractions were not measured for the 40-minute condition (</w:t>
      </w:r>
      <w:r>
        <w:rPr>
          <w:b/>
          <w:bCs/>
        </w:rPr>
        <w:t xml:space="preserve">Fig. 1c</w:t>
      </w:r>
      <w:r>
        <w:t xml:space="preserve">) or for the cyclically treated condition (Sec. 3.3), so this sub-reading is untested here. The second is that part of the α present at temperature transformed to γ on cooling; since γ is the transformation product in this system (Sec. 3.3), a martensitic α → γ reaction during the quench would invert the ratio and would place the martensite start temperature above room temperature. The EDS partitioning of</w:t>
      </w:r>
      <w:r>
        <w:t xml:space="preserve"> </w:t>
      </w:r>
      <w:r>
        <w:rPr>
          <w:b/>
          <w:bCs/>
        </w:rPr>
        <w:t xml:space="preserve">Fig. 1b</w:t>
      </w:r>
      <w:r>
        <w:t xml:space="preserve"> </w:t>
      </w:r>
      <w:r>
        <w:t xml:space="preserve">does not discriminate between the readings. The Al-rich and Mn-rich constituents are the partitioning expected between α and γ at 1200 °C under either reading, and a martensitic γ formed from α on the quench would inherit that α’s Al-rich composition</w:t>
      </w:r>
      <w:r>
        <w:t xml:space="preserve"> </w:t>
      </w:r>
      <w:r>
        <w:t xml:space="preserve">(Ref 36)</w:t>
      </w:r>
      <w:r>
        <w:t xml:space="preserve"> </w:t>
      </w:r>
      <w:r>
        <w:t xml:space="preserve">and so would not be separated from α by chemistry alone; the EDS result is reported qualitatively (Sec. 3.1), without a map of composition against crystal structure and without a fraction of either constituent. The microstructural test is a phase map with composition on the same area (EBSD with EDS), in which Al-rich regions indexing as FCC would be the signature of the second reading, or an areal fraction of the Mn-rich constituent on the same mount, which the first reading requires to match the ≈62% γ of the refinement and the second to fall below it; neither was performed. The lath-like appearance of the cyclically treated wire (</w:t>
      </w:r>
      <w:r>
        <w:rPr>
          <w:b/>
          <w:bCs/>
        </w:rPr>
        <w:t xml:space="preserve">Fig. 1d</w:t>
      </w:r>
      <w:r>
        <w:t xml:space="preserve">, Sec. 3.1) is consistent with either reading. The control bears on this without deciding it: the benchmark is calculated to be single-phase α at 1200 °C, yet its pattern after the same 1-minute anneal and quench carries γ reflections (</w:t>
      </w:r>
      <w:r>
        <w:rPr>
          <w:b/>
          <w:bCs/>
        </w:rPr>
        <w:t xml:space="preserve">Fig. 4c</w:t>
      </w:r>
      <w:r>
        <w:t xml:space="preserve">, Sec. 3.3), so a calculated single-phase α state at temperature does not guarantee a γ-free quenched state even in an alloy that transforms; the amount of that γ could not be refined, and whether it was present at temperature or formed on cooling is equally open. The two readings do not bear equally on this interpretation, and the difference should be stated. Under the first, the γ excess was already present at 1200 °C, and the scarcity of α after the quench reflects the constitution at the solution-treatment temperature. Under the second, more α was present at 1200 °C than survived the quench, and the proportion at temperature is then known only from the calculation. What holds under both is narrower: no strain recovery beyond σ/E in any condition in which unloading was recorded (Secs. 3.2 and 3.5), none on heating in the one condition given that test (</w:t>
      </w:r>
      <w:r>
        <w:rPr>
          <w:b/>
          <w:bCs/>
        </w:rPr>
        <w:t xml:space="preserve">Fig. 3a</w:t>
      </w:r>
      <w:r>
        <w:t xml:space="preserve">), a minority of α after the quench (≈34%, Sec. 3.3), and the calculated absence of any single-phase α field from which the benchmark’s microstructure could be produced (Sec. 3.4). Attributing the null result to the missing single-phase parent state is therefore an interpretation consistent with both readings but established by neither, and it is offered on that basis. The direct test of whether a transformation occurs on cooling is differential scanning calorimetry of the strand-annealed wire through heating and cooling, with the benchmark wire as the control; it has not been performed, and the question is carried as open in Sec. 4.4.</w:t>
      </w:r>
    </w:p>
    <w:p>
      <w:pPr>
        <w:pStyle w:val="BodyText"/>
      </w:pPr>
      <w:r>
        <w:t xml:space="preserve">The calculations also clarify the status of the ordered phases. D0₃ is not predicted to be an equilibrium phase at ≈12 at% Al (Sec. 3.4), yet it is observed. Its presence is therefore best understood as a metastable ordering product formed on cooling — exactly the kind of kinetic outcome that a screening step based on composition and equilibrium thermodynamics alone cannot anticipate. It is not, however, peculiar to this heat. Both B2 and D0₃ are documented ordering products in the Fe-Mn-Al-C low-density steels</w:t>
      </w:r>
      <w:r>
        <w:t xml:space="preserve"> </w:t>
      </w:r>
      <w:r>
        <w:t xml:space="preserve">(Ref 16)</w:t>
      </w:r>
      <w:r>
        <w:t xml:space="preserve">, and in the Ni-alloyed members of that family the B2 that does form is only marginally stable at the temperature used here: nanoscale NiAl-type B2 confined to the BCC constituent of a γ-majority Fe-16Mn-9Al-0.9C-5Ni steel coarsens on holding at 1110 °C and breaks up again after 30 min at 1200 °C</w:t>
      </w:r>
      <w:r>
        <w:t xml:space="preserve"> </w:t>
      </w:r>
      <w:r>
        <w:t xml:space="preserve">(Ref 17)</w:t>
      </w:r>
      <w:r>
        <w:t xml:space="preserve">. The ordering behavior observed in the LLM-alloy is thus characteristic of the alloy field its chemistry actually places it in, rather than of the shape-memory field it was designed for. Conversely, the ordered bcc that the LLM-alloy can form at equilibrium is small (≤11%) and confined below ≈850 °C. At those temperatures both alloys are calculated to be ordered bcc coexisting with γ; what separates them is the step before. The benchmark can be quenched from a single-phase α field and then aged, so that B2 orders coherently within α before γ has time to nucleate. The LLM-alloy has no accessible single-phase α field to quench from (Sec. 3.4), so there is no single-phase α matrix in which coherent B2 could form, and the microstructure the benchmark relies upon is, on the equilibrium calculation of Sec. 3.4, unavailable to this composition at any temperature in the solid state. This is a stronger statement than the absence of a B2 reflection alone would support, and it offers an account, though not a demonstrated cause, of the failure of the 200 °C aging treatment (</w:t>
      </w:r>
      <w:r>
        <w:rPr>
          <w:b/>
          <w:bCs/>
        </w:rPr>
        <w:t xml:space="preserve">Fig. 2h</w:t>
      </w:r>
      <w:r>
        <w:t xml:space="preserve">) to induce any pseudo-elastic response.</w:t>
      </w:r>
    </w:p>
    <w:p>
      <w:pPr>
        <w:pStyle w:val="BodyText"/>
      </w:pPr>
      <w:r>
        <w:t xml:space="preserve">One asymmetry in the experimental design is worth making explicit, because it bears directly on whether the processing route was simply the wrong route for this composition. The two alloys were not treated identically in the respect that matters most for aging. The LLM-alloy received the 200 °C / 3 h age reported to improve pseudo-elasticity in this family</w:t>
      </w:r>
      <w:r>
        <w:t xml:space="preserve"> </w:t>
      </w:r>
      <w:r>
        <w:t xml:space="preserve">(Ref 32,33)</w:t>
      </w:r>
      <w:r>
        <w:t xml:space="preserve"> </w:t>
      </w:r>
      <w:r>
        <w:t xml:space="preserve">and showed no response whatever (</w:t>
      </w:r>
      <w:r>
        <w:rPr>
          <w:b/>
          <w:bCs/>
        </w:rPr>
        <w:t xml:space="preserve">Fig. 2h</w:t>
      </w:r>
      <w:r>
        <w:t xml:space="preserve">, indistinguishable from the unaged</w:t>
      </w:r>
      <w:r>
        <w:t xml:space="preserve"> </w:t>
      </w:r>
      <w:r>
        <w:rPr>
          <w:b/>
          <w:bCs/>
        </w:rPr>
        <w:t xml:space="preserve">Fig. 2g</w:t>
      </w:r>
      <w:r>
        <w:t xml:space="preserve">). The benchmark in</w:t>
      </w:r>
      <w:r>
        <w:t xml:space="preserve"> </w:t>
      </w:r>
      <w:r>
        <w:rPr>
          <w:b/>
          <w:bCs/>
        </w:rPr>
        <w:t xml:space="preserve">Fig. 3b</w:t>
      </w:r>
      <w:r>
        <w:t xml:space="preserve"> </w:t>
      </w:r>
      <w:r>
        <w:t xml:space="preserve">received no age at all — 1200 °C for 1 min and cooling, nothing more — and still showed reverse transformation on heating. The two tests differ — the aged LLM-alloy was examined on unloading (</w:t>
      </w:r>
      <w:r>
        <w:rPr>
          <w:b/>
          <w:bCs/>
        </w:rPr>
        <w:t xml:space="preserve">Fig. 2h</w:t>
      </w:r>
      <w:r>
        <w:t xml:space="preserve">), not in the heating test — but the aging asymmetry runs in the LLM-alloy’s favor rather than against it, and the null result cannot be attributed to an aging treatment that was withheld. This is not the same as claiming the route was optimal for the LLM composition: no route was optimized for either alloy, and whether some other solution or aging window could unlock a transformation in this chemistry is untested and is named as such in Sec. 4.4.</w:t>
      </w:r>
    </w:p>
    <w:p>
      <w:pPr>
        <w:pStyle w:val="BodyText"/>
      </w:pPr>
      <w:r>
        <w:t xml:space="preserve">Furthermore, mechanical and structural analyses indicate that the LLM-alloy accommodates macroscopic deformation via irreversible dislocation slip rather than phase transitions. Coherent, ordered β-NiAl (B2) precipitates within a BCC matrix contribute to, rather than solely determine, the transformation reversibility of the benchmark</w:t>
      </w:r>
      <w:r>
        <w:t xml:space="preserve"> </w:t>
      </w:r>
      <w:r>
        <w:t xml:space="preserve">(Ref 35)</w:t>
      </w:r>
      <w:r>
        <w:t xml:space="preserve">; parent-phase stability, transformation temperature, grain size, crystallographic orientation and texture, and the competition between the transformation stress and the plastic yield stress all bear on whether a stress-induced transformation can proceed reversibly. The precipitates are not even a purely mechanical contribution: by drawing Ni and Al out of solution they alter the composition of the matrix that surrounds them, and hence its transformation temperatures, so that the same aging treatment shifts both the obstacle field and the thermodynamic setting in which the transformation must occur</w:t>
      </w:r>
      <w:r>
        <w:t xml:space="preserve"> </w:t>
      </w:r>
      <w:r>
        <w:t xml:space="preserve">(Ref 37)</w:t>
      </w:r>
      <w:r>
        <w:t xml:space="preserve">. In the LLM-alloy the ordered phase that forms is D0₃ Fe₃Al, present at ≈4% (Sec. 3.3) and not shown by the present data to form a fine coherent dispersion, so there is no evidence that it raises the resistance to plastic flow in the way that B2 does in the benchmark. The slip interpretation is supported by the post-deformation synchrotron XRD patterns, where the transition from sharp, discrete spots to broad, partially arced rings reflects dislocation multiplication and sub-grain formation. Thus, as processed here, the duplex LLM-alloy deforms by dislocation slip rather than by stress-induced martensitic transformation.</w:t>
      </w:r>
    </w:p>
    <w:bookmarkEnd w:id="24"/>
    <w:bookmarkStart w:id="25" w:name="the-role-of-carbon"/>
    <w:p>
      <w:pPr>
        <w:pStyle w:val="Heading2"/>
      </w:pPr>
      <w:r>
        <w:t xml:space="preserve">4.2 The role of carbon</w:t>
      </w:r>
    </w:p>
    <w:p>
      <w:pPr>
        <w:pStyle w:val="FirstParagraph"/>
      </w:pPr>
      <w:r>
        <w:t xml:space="preserve">Five alloying additions (Mn, Al, Ni, Si, C) differ between the two alloys, Fe making up the balance, so no comparison of the two cast heats can by itself establish which of them is responsible for the loss of super-elasticity. On a plain atomic-percent basis carbon is the smallest of the five changes, and singling it out on a two-heat comparison would otherwise be arbitrary. The virtual carbon-free composition of Sec. 3.4 is the control that resolves this for the phase field — which element closes the single-phase α window — because it changes carbon alone while holding Fe, Mn, Al, Ni and Si at the values actually measured in the cast wire.</w:t>
      </w:r>
    </w:p>
    <w:p>
      <w:pPr>
        <w:pStyle w:val="BodyText"/>
      </w:pPr>
      <w:r>
        <w:t xml:space="preserve">A shortcut is available before that control, and it fails in a way worth recording, because reasoning of exactly this kind is what proposed the alloy. Austenite-stabilizing potency is conventionally summarized by a Schaeffler-type nickel equivalent, Ni_eq = Ni + 30C + 0.5Mn in weight percent, in which carbon carries thirty times the weight of nickel and which would appear to settle the question immediately. Evaluated on the measured chemistries it returns</w:t>
      </w:r>
      <w:r>
        <w:t xml:space="preserve"> </w:t>
      </w:r>
      <w:r>
        <w:rPr>
          <w:b/>
          <w:bCs/>
        </w:rPr>
        <w:t xml:space="preserve">23.9 for the LLM-alloy against 27.5 for the benchmark</w:t>
      </w:r>
      <w:r>
        <w:t xml:space="preserve"> </w:t>
      </w:r>
      <w:r>
        <w:t xml:space="preserve">— ranking the benchmark as the</w:t>
      </w:r>
      <w:r>
        <w:t xml:space="preserve"> </w:t>
      </w:r>
      <w:r>
        <w:rPr>
          <w:i/>
          <w:iCs/>
        </w:rPr>
        <w:t xml:space="preserve">more</w:t>
      </w:r>
      <w:r>
        <w:t xml:space="preserve"> </w:t>
      </w:r>
      <w:r>
        <w:t xml:space="preserve">austenite-stabilized of the two, the opposite of what both the calculations of Sec. 3.4 and the diffraction of Sec. 3.3 show. Two things defeat it. First, the expression carries no aluminum term at all, yet aluminum is a major addition in both alloys (6.2 and 8.0 wt%; the second-largest by atom fraction) and the strongest ferrite stabilizer either of them contains; the difference in aluminum between the two heats is invisible to the formula. Second, the carbon term is a weight-percent term, and the distinction is not cosmetic at these levels: 0.105 wt% carbon contributes 3.2 units, where the same carbon expressed as 0.45 at% would contribute 13.5 and would reverse the ranking. Underlying both is a domain problem that the arithmetic hides: the companion chromium equivalent evaluates to ≈1.7 and ≈0.0 for the two alloys, since neither contains chromium, so both sit far outside the Cr_eq ≈ 15–30 band over which the Schaeffler construction was calibrated. A correlation fitted to Fe-Cr-Ni stainless steels, in which aluminum is absent and chromium supplies the ferrite stabilization, does not transfer to Fe-Mn-Al. We report the attempt and its failure rather than omitting it, because a tabulated composition–potency heuristic is precisely what a screening step short of a real calculation would supply, and here it points the wrong way. What follows is therefore not a more precise version of this argument but a different kind of argument.</w:t>
      </w:r>
    </w:p>
    <w:p>
      <w:pPr>
        <w:pStyle w:val="BodyText"/>
      </w:pPr>
      <w:r>
        <w:t xml:space="preserve">The result is unambiguous and reproduces across all three databases (</w:t>
      </w:r>
      <w:r>
        <w:rPr>
          <w:b/>
          <w:bCs/>
        </w:rPr>
        <w:t xml:space="preserve">Table 3</w:t>
      </w:r>
      <w:r>
        <w:t xml:space="preserve">). Deleting 0.45 at% (≈0.10 wt%) carbon creates a single-phase α field where none existed — one that opens at ≈1130–1160 °C and extends to the solidus in all three databases — and converts the equilibrium constitution at 1200 °C from a 62–71% α + 29–38% γ mixture into 100% α, the same single-phase state the benchmark alloy reaches at that temperature. On the calculation, carbon, at a concentration of one part in a thousand by weight, is what closes the solution-treatment window on which the benchmark’s processing route depends.</w:t>
      </w:r>
    </w:p>
    <w:p>
      <w:pPr>
        <w:pStyle w:val="BodyText"/>
      </w:pPr>
      <w:r>
        <w:t xml:space="preserve">Two elements are exonerated by the same calculation. Silicon was added as a ferrite stabilizer and solid-solution strengthener, and it remains at its measured 2.04 at% in the carbon-free variant of both Si-bearing databases, which nonetheless return 100% α at 1200 °C; silicon therefore does not obstruct the single-phase field, and the shortfall in the as-cast alloy is not attributable to it. The reduction in Ni from 7.8 to 4.2 at% is held at its measured value by the same construction, but nickel deserves more than that, because it is the substitution a reader would most reasonably expect to matter: the benchmark’s super-elasticity depends on NiAl precipitation and the LLM-alloy carries barely half the nickel. The scan reported in Sec. 3.4 addresses it directly, and the separation it produces is clean. Nickel does not create the missing field — with carbon present the alloy is still α + γ at the onset of melting at every nickel content from 4.2 to 7.8 at% — so</w:t>
      </w:r>
      <w:r>
        <w:t xml:space="preserve"> </w:t>
      </w:r>
      <w:r>
        <w:rPr>
          <w:b/>
          <w:bCs/>
        </w:rPr>
        <w:t xml:space="preserve">restoring the benchmark’s own nickel content to this alloy would not have opened the solution-treatment window.</w:t>
      </w:r>
      <w:r>
        <w:t xml:space="preserve"> </w:t>
      </w:r>
      <w:r>
        <w:t xml:space="preserve">What nickel does control is how much ordered bcc can form, 5.5% to 13.9% at 700 °C across the same interval, which is precisely the B2 the design rationale was reaching for. The two elements therefore act on different parts of the problem: nickel sets how much B2 the alloy could form, and carbon sets whether there is ever an α matrix in which to form it coherently. They are not competing explanations of one failure, and on the calculation the lower nickel content cannot substitute for carbon as the cause of the closed window.</w:t>
      </w:r>
    </w:p>
    <w:p>
      <w:pPr>
        <w:pStyle w:val="BodyText"/>
      </w:pPr>
      <w:r>
        <w:t xml:space="preserve">Exonerating silicon of the primary failure is not the same as finding it inert, and the distinction matters because silicon was one of the two elements the agent added on its own initiative. Recovered at 2.04 at%, half the intended level, it cannot have delivered the solid-solution strengthening of the parent phase it was specified for; the calculation above shows it did not decisively shift α stability either. What it may well have done is contribute to the one ordered phase that did appear. Heo</w:t>
      </w:r>
      <w:r>
        <w:t xml:space="preserve"> </w:t>
      </w:r>
      <w:r>
        <w:rPr>
          <w:i/>
          <w:iCs/>
        </w:rPr>
        <w:t xml:space="preserve">et al.</w:t>
      </w:r>
      <w:r>
        <w:t xml:space="preserve"> </w:t>
      </w:r>
      <w:r>
        <w:t xml:space="preserve">(Ref 38)</w:t>
      </w:r>
      <w:r>
        <w:t xml:space="preserve"> </w:t>
      </w:r>
      <w:r>
        <w:t xml:space="preserve">examined precisely this substitution — silicon added to a Fe-Mn-Al-C low-density steel to recover the density benefit of aluminum that had been removed to suppress κ-carbide — and found it undesirable, because silicon instead promotes (Fe,Mn)₅(Si,Al)C together with the (Fe,Mn)₃(Al,Si) D0₃ ordered phase in the ferrite grains, with a serious loss of ductility. D0₃ is the ordered phase observed here (Sec. 3.3), and it is the phase that appears in the α constituent. We cannot separate a silicon contribution to that ordering from an iron-aluminum one with two heats and no silicon-free control, so we do not claim it. The point is narrower and worth making anyway: an addition that the design rationale treated as a strengthener has a documented second role in this compositional field, as a promoter of the very ordering product that was found, and nothing in the reasoning that proposed it engaged with that role.</w:t>
      </w:r>
    </w:p>
    <w:p>
      <w:pPr>
        <w:pStyle w:val="BodyText"/>
      </w:pPr>
      <w:r>
        <w:t xml:space="preserve">The limits of this conclusion should be stated as clearly as the conclusion itself. On the calculation, carbon is decisive at the temperature where the process operates, not across the whole temperature range. Over roughly 850–1020 °C both the as-measured composition (</w:t>
      </w:r>
      <w:r>
        <w:rPr>
          <w:b/>
          <w:bCs/>
        </w:rPr>
        <w:t xml:space="preserve">Fig. 9b</w:t>
      </w:r>
      <w:r>
        <w:t xml:space="preserve">, fully austenitic to ≈1050 °C, Sec. 3.4) and the carbon-free control (</w:t>
      </w:r>
      <w:r>
        <w:rPr>
          <w:b/>
          <w:bCs/>
        </w:rPr>
        <w:t xml:space="preserve">Fig. 9c</w:t>
      </w:r>
      <w:r>
        <w:t xml:space="preserve">) are calculated to be fully austenitic, so the lower Al and Ni contents of the LLM-alloy do move the α/γ boundary independently of carbon. The defensible claim is therefore narrower and more useful than</w:t>
      </w:r>
      <w:r>
        <w:t xml:space="preserve"> </w:t>
      </w:r>
      <w:r>
        <w:t xml:space="preserve">“carbon caused the failure”</w:t>
      </w:r>
      <w:r>
        <w:t xml:space="preserve">: carbon closes the single-phase α field at the solution-treatment temperature, and without that field the alloy cannot be brought into the single-phase parent state that the benchmark’s route to super-elasticity requires, whatever the other elements do elsewhere. Whether that closure is the operative cause of the null result is the step left open in Sec. 4.1. Nor is a calculated control a substitute for the experiment it stands in for. Casting this composition without carbon and processing it identically remains the direct test; what the calculation contributes is to reduce that test from an open compositional search to a single, well-specified heat.</w:t>
      </w:r>
    </w:p>
    <w:p>
      <w:pPr>
        <w:pStyle w:val="BodyText"/>
      </w:pPr>
      <w:r>
        <w:t xml:space="preserve">Carbon was added on the expectation that it would strengthen the parent phase interstitially and, through fine dispersed carbides, raise the resistance to slip enough to favor stress-induced transformation over plasticity. The calculations indicate that neither mechanism was available. Carbides are predicted to be stable only well below the processing range — M₂₃C₆ below ≈420 °C, κ-(Fe,Mn)₃AlC below ≈590 °C and never above ≈2.4% — so no carbide dispersion exists at or near 1200 °C to provide the intended strengthening, and none was detected by the diffraction and SEM performed, which would not resolve a fine dispersion. This places the LLM-alloy in an unfavorable position with respect to the Fe-Mn-Al-C lightweight-steel family, whose compositional field it otherwise resembles: those alloys derive their strength from κ-carbide precipitation at carbon contents near 1 wt% (0.8–0.9 wt% in the representatives of Sec. 2.1</w:t>
      </w:r>
      <w:r>
        <w:t xml:space="preserve"> </w:t>
      </w:r>
      <w:r>
        <w:t xml:space="preserve">(Ref 16,17)</w:t>
      </w:r>
      <w:r>
        <w:t xml:space="preserve">), roughly an order of magnitude above the ≈0.10 wt% present here. The LLM-alloy carries enough carbon to incur the γ-stabilization penalty that, on the calculation, closes the single-phase α field the shape-memory route requires, but not enough to collect the precipitation strengthening that would justify it.</w:t>
      </w:r>
    </w:p>
    <w:p>
      <w:pPr>
        <w:pStyle w:val="BodyText"/>
      </w:pPr>
      <w:r>
        <w:t xml:space="preserve">The comparison is worth drawing out, because it is the clearest single statement of what this alloy is. The Ni-alloyed Fe-Mn-Al-C low-density steels are built from the same four principal elements as the Fe-Mn-Al-Ni shape-memory alloys, at a similar nickel level, and they are known to produce the same ordered phases — B2 and D0₃ in the ferrite, κ-carbide in the austenite</w:t>
      </w:r>
      <w:r>
        <w:t xml:space="preserve"> </w:t>
      </w:r>
      <w:r>
        <w:t xml:space="preserve">(Ref 16,17)</w:t>
      </w:r>
      <w:r>
        <w:t xml:space="preserve">. What differs is the purpose those phases are put to. In the shape-memory alloys, coherent B2 within a single-phase α parent raises the resistance to slip so that a reversible transformation can outrun plasticity. In the low-density steels, the same precipitates are strengtheners in an alloy that is never intended to transform: the design objective is specific strength and ductility in a duplex or γ-majority structure, nickel is added specifically to form NiAl-type B2 and to hold it stable above the recrystallization temperature, and the ordering of α to B2 is a liability to be managed for its embrittling effect rather than a mechanism to be exploited</w:t>
      </w:r>
      <w:r>
        <w:t xml:space="preserve"> </w:t>
      </w:r>
      <w:r>
        <w:t xml:space="preserve">(Ref 16)</w:t>
      </w:r>
      <w:r>
        <w:t xml:space="preserve">. Judged against that second family, the LLM-alloy is neither anomalous nor a failure. It is a γ-majority duplex Fe-Mn-Al-Ni-C alloy that orders and deforms by slip, which is what alloys of that chemistry do. The failure lies in the expectation that was attached to it, and the practical lesson is that a composition can sit in two literatures at once while satisfying the design intent of only one.</w:t>
      </w:r>
    </w:p>
    <w:p>
      <w:pPr>
        <w:pStyle w:val="BodyText"/>
      </w:pPr>
      <w:r>
        <w:t xml:space="preserve">Two general points follow. First, the sensitivity of this alloy family to interstitial content is severe enough that carbon must be treated as a primary design variable rather than a minor addition, and specified and controlled accordingly — a 1000 ppm addition is not a perturbation here. Second, the calculation behind all of this requires no proprietary software and uses only openly available databases. Had it been run before melting, it would have flagged that the intended 1200 °C solution treatment lies in a two-phase field that persists up to the alloy’s melting point.</w:t>
      </w:r>
    </w:p>
    <w:bookmarkEnd w:id="25"/>
    <w:bookmarkStart w:id="26" w:name="X14190cefc5af7e6c61eb8a7f0ac8ec72264613c"/>
    <w:p>
      <w:pPr>
        <w:pStyle w:val="Heading2"/>
      </w:pPr>
      <w:r>
        <w:t xml:space="preserve">4.3 Anneal-temperature dependence of mechanical properties</w:t>
      </w:r>
    </w:p>
    <w:p>
      <w:pPr>
        <w:pStyle w:val="FirstParagraph"/>
      </w:pPr>
      <w:r>
        <w:t xml:space="preserve">Although the LLM-alloy did not show super-elastic behavior, its monotonic tensile behavior varies strongly with annealing temperature, and the trends are exactly those expected for a cold-drawn wire passing through recovery, recrystallization, and grain growth. Reading these as a survey rather than a designed experiment, three regimes emerge.</w:t>
      </w:r>
    </w:p>
    <w:p>
      <w:pPr>
        <w:pStyle w:val="BodyText"/>
      </w:pPr>
      <w:r>
        <w:t xml:space="preserve">At the lowest temperatures (600–700 °C) the wire is very strong but essentially brittle: tensile strengths of ≈1876–2254 MPa and yield strengths of ≈1635–1908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pPr>
        <w:pStyle w:val="BodyText"/>
      </w:pPr>
      <w:r>
        <w:t xml:space="preserve">The abrupt change near 800 °C is consistent with the onset of recrystallization. Elongation jumps from 2.2% at 700 °C to 26.1% at 800 °C, while tensile strength falls from 1876 to 1209 MPa and yield strength from 1635 to 1151 MPa. A discontinuity of this kind — rather than a smooth softening — is the signature of recrystallization: new equiaxed, strain-free grains nucleate and consume the deformed matrix, removing most of the stored dislocation content and abruptly restoring ductility. We infer the recrystallization threshold from the mechanical response rather than observe it directly, since micrographs were not taken at every anneal temperature; electron backscatter diffraction across the anneal series would settle it.</w:t>
      </w:r>
    </w:p>
    <w:p>
      <w:pPr>
        <w:pStyle w:val="BodyText"/>
      </w:pPr>
      <w:r>
        <w:t xml:space="preserve">From 800 to 1200 °C the behavior is that of a recrystallized wire in which the dominant process is grain growth. Yield strength falls monotonically with temperature (1151 → 519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structural metal whose flow stress is grain-size controlled. Above 1000 °C, elongation eases back slightly (29.1% at 1100 °C, 25.6% at 1200 °C), which we attribute to excessive coarsening reducing uniform elongation even as the matrix continues to soften. Throughout the sweep, the elastic modulus stays within ≈150–162 GPa, as expected for a structure-insensitive property of an essentially unchanged multi-phase mixture.</w:t>
      </w:r>
    </w:p>
    <w:p>
      <w:pPr>
        <w:pStyle w:val="BodyText"/>
      </w:pPr>
      <w:r>
        <w:t xml:space="preserve">The peak elongation of ≈33% at 1000 °C deserves a comment in its own right. It is a respectable figure but not an exceptional one for a duplex γ + α Fe-Mn-Al alloy, and that is precisely the point: judged on conventional structural criteria this composition performs perfectly creditably, combining ≈675 MPa yield strength with ≈33% elongation. What it does not do is transform. The alloy is therefore best read not as a failed material but as a serviceable structural metal that was hypothesized to be a shape-memory alloy and is not one — a distinction that matters for how AI-proposed compositions should be evaluated (Sec. 4.4). Read against the low-density steels its chemistry places it among (Sec. 4.2), the numbers are ordinary rather than disappointing. That family spans yield strengths of ≈500–940 MPa, tensile strengths of ≈710–1020 MPa and elongations of 8–78% depending on which phases its microstructure contains</w:t>
      </w:r>
      <w:r>
        <w:t xml:space="preserve"> </w:t>
      </w:r>
      <w:r>
        <w:t xml:space="preserve">(Ref 16)</w:t>
      </w:r>
      <w:r>
        <w:t xml:space="preserve">, and the 1000–1200 °C conditions of</w:t>
      </w:r>
      <w:r>
        <w:t xml:space="preserve"> </w:t>
      </w:r>
      <w:r>
        <w:rPr>
          <w:b/>
          <w:bCs/>
        </w:rPr>
        <w:t xml:space="preserve">Table 2</w:t>
      </w:r>
      <w:r>
        <w:t xml:space="preserve"> </w:t>
      </w:r>
      <w:r>
        <w:t xml:space="preserve">sit inside that envelope on all three measures (σ₀.₂ 519–675 MPa, UTS 968–978 MPa, elongation 25.6–33.0%), with the 900 °C condition just outside it. The colder anneals are far stronger than the envelope allows, but that is a consequence of form rather than chemistry: these are 0.36 mm wires still carrying the substructure of an ≈85% drawing reduction, not annealed plate. What the alloy lacks relative to the low-density steels is the carbon needed for κ-carbide strengthening (Sec. 4.2); what it lacks relative to the shape-memory alloys is, on the calculation, an accessible single-phase parent field (Secs. 3.4 and 4.1). It is an unoptimized member of the first family rather than a failed member of the second, which is a more informative outcome than failure alone.</w:t>
      </w:r>
    </w:p>
    <w:bookmarkEnd w:id="26"/>
    <w:bookmarkStart w:id="27" w:name="implications-for-ai-guided-alloy-design"/>
    <w:p>
      <w:pPr>
        <w:pStyle w:val="Heading2"/>
      </w:pPr>
      <w:r>
        <w:t xml:space="preserve">4.4 Implications for AI-guided alloy design</w:t>
      </w:r>
    </w:p>
    <w:p>
      <w:pPr>
        <w:pStyle w:val="FirstParagraph"/>
      </w:pPr>
      <w:r>
        <w:t xml:space="preserve">The workflow that produced this alloy should be stated before its outcome is interpreted, because the outcome belongs to that workflow and not to AI-assisted design in general. A deep-research agent was asked for lower-cost Fe-based compositions with the potential for super-elasticity; it returned six ranked candidate families, each with a stated rationale and a performance target (Sec. 2.1); one candidate was chosen and a composition drawn from it — outside its stated range in manganese and aluminum (Sec. 2.1) — was melted; and between the report and the melt no calculation of phase stability was made. As shown in this study, the LLM-hypothesized alloy developed a stable multiphase microstructure consisting mainly of FCC γ and BCC α phases, and neither mechanical testing nor synchrotron diffraction provided evidence of stress-induced martensitic transformation in the conditions reported here; deformation was instead accommodated largely by conventional dislocation slip. The composition appeared reasonable from a strengthening and literature perspective, and the rationale attached to it (Sec. 1) is coherent on its own terms. What that rationale did not contain, and what nothing later in the workflow supplied, was a check that the parent phase it specified could be produced by any treatment within the 1200 °C ceiling of Sec. 2.2. That is the limitation this study documents. It is a limitation of the workflow as it was run — a composition-level rationale carried to the furnace without a phase-stability and processing-window check — and not a demonstrated limit on what an LLM can propose, which one candidate cannot decide.</w:t>
      </w:r>
    </w:p>
    <w:p>
      <w:pPr>
        <w:pStyle w:val="BodyText"/>
      </w:pPr>
      <w:r>
        <w:t xml:space="preserve">The calculations reported here allow this limitation to be stated as a concrete and inexpensive remedy rather than a general caution. The screening step that would have caught this composition is a single equilibrium step diagram, evaluated not for the existence of the desired phase but for whether the phase fields required by the</w:t>
      </w:r>
      <w:r>
        <w:t xml:space="preserve"> </w:t>
      </w:r>
      <w:r>
        <w:rPr>
          <w:i/>
          <w:iCs/>
        </w:rPr>
        <w:t xml:space="preserve">intended processing route</w:t>
      </w:r>
      <w:r>
        <w:t xml:space="preserve"> </w:t>
      </w:r>
      <w:r>
        <w:t xml:space="preserve">overlap the temperatures at which that route can actually be run. For a Fe-Mn-Al-Ni shape-memory alloy the test has two parts: does a single-phase α field exist below the practical annealing limit, and does an ordered-precipitate field exist below it within that same α matrix? On the calculation, the LLM-alloy fails the first, and would fail the second even if the first were satisfied. Neither question requires proprietary software or measured data on the candidate itself. What makes this more than a general caution is that the report itself named the missing step. Its recommendations call for</w:t>
      </w:r>
      <w:r>
        <w:t xml:space="preserve"> </w:t>
      </w:r>
      <w:r>
        <w:t xml:space="preserve">“computational tools, such as CALPHAD for phase diagram prediction and precipitate stability, and Density Functional Theory for understanding precipitate–matrix coherency and energetics”</w:t>
      </w:r>
      <w:r>
        <w:t xml:space="preserve"> </w:t>
      </w:r>
      <w:r>
        <w:t xml:space="preserve">to be</w:t>
      </w:r>
      <w:r>
        <w:t xml:space="preserve"> </w:t>
      </w:r>
      <w:r>
        <w:t xml:space="preserve">“employed to guide experimental design”</w:t>
      </w:r>
      <w:r>
        <w:t xml:space="preserve"> </w:t>
      </w:r>
      <w:r>
        <w:t xml:space="preserve">— the only occurrence of CALPHAD in forty-one pages, and a recommendation for future work rather than a calculation performed. The agent thus specified a parent phase it had not shown to be attainable, and in the same document correctly identified the calculation that would have shown it. The failure was not that the model lacked the concept but that the workflow terminated before the concept was applied, in the interval between a report that recommends screening and a melt that proceeds without it. The useful distinction is therefore not between AI-assisted and conventional design but between design workflows that terminate in a verified calculation and those that terminate in a plausible narrative. A generated composition should be treated as a hypothesis to be screened, not as a result — and the screening step is one the agent will often specify itself if asked.</w:t>
      </w:r>
    </w:p>
    <w:p>
      <w:pPr>
        <w:pStyle w:val="BodyText"/>
      </w:pPr>
      <w:r>
        <w:t xml:space="preserve">The scope of what a single experiment can support should be stated plainly. One composition, drawn from one agent’s proposal in one session and processed by one route, is a case study of that composition: it is not an experimental test of Hypothesis A2 as a whole, whose range the melt leaves in manganese and aluminum (Sec. 2.1), and still less an evaluation of AI-assisted alloy design as a practice. Nothing here establishes a failure rate, and a different prompt, a different agent, or a different processing window might well have produced a different outcome; the experimental claims of this paper are bounded accordingly. A second session, given the processing ceiling and asked to screen its own candidates against it, was not run. It would answer a different question from the one this paper asks: a candidate that passes an equilibrium screen has met a necessary condition, not shown that it transforms — the D0₃ that formed here is not an equilibrium prediction either (Sec. 4.1) — so that question would be answered only once such a candidate is melted and tested, which is a further study. Three specific tests remain open, and are named here rather than left implicit. A solution-and-aging window optimized for this composition, rather than inherited from the benchmark, would establish whether any accessible treatment can produce a transforming state — the route used here was biased in the LLM-alloy’s favor (Sec. 4.1) but was not optimized for it. An in-situ or loading-stage diffraction measurement would observe the material under load instead of after unloading, closing the one gap that ex-situ patterns cannot (Sec. 3.3). And the carbon-free heat of Sec. 4.2 remains the direct experimental form of the control that was performed here in silico. None of the three would change the calculated absence of a single-phase α field below the alloy’s melting point, which is a property of the composition rather than of the treatment; but each bounds a different part of the claim, and the paper does not assert what they would show. A fourth test bears on the interpretation of Sec. 4.1 rather than on the calculation: differential scanning calorimetry of the strand-annealed wire, with the benchmark as the control, would establish whether a transformation event occurs on heating or on cooling within the range scanned, which is the point on which the two readings of Sec. 4.1 differ; it would not by itself assign an event to α → γ or quantify the γ formed. It has not been performed. Likewise, the loading–unloading–heating protocol of</w:t>
      </w:r>
      <w:r>
        <w:t xml:space="preserve"> </w:t>
      </w:r>
      <w:r>
        <w:rPr>
          <w:b/>
          <w:bCs/>
        </w:rPr>
        <w:t xml:space="preserve">Fig. 3</w:t>
      </w:r>
      <w:r>
        <w:t xml:space="preserve"> </w:t>
      </w:r>
      <w:r>
        <w:t xml:space="preserve">has not been applied to the cyclically treated 0.36 mm wire (Sec. 3.5); the unloading records of</w:t>
      </w:r>
      <w:r>
        <w:t xml:space="preserve"> </w:t>
      </w:r>
      <w:r>
        <w:rPr>
          <w:b/>
          <w:bCs/>
        </w:rPr>
        <w:t xml:space="preserve">Fig. 10</w:t>
      </w:r>
      <w:r>
        <w:t xml:space="preserve"> </w:t>
      </w:r>
      <w:r>
        <w:t xml:space="preserve">bound what that test could show but do not replace it. What generalizes is narrower, and we think more useful. The calculated failure mode was not exotic or specific to this composition — a phase field lying in the wrong place relative to the temperatures at which the alloy can be annealed — and it was identifiable before melting by a calculation requiring no proprietary software and no measurement on the candidate itself. A design workflow that terminates in a plausible narrative cannot catch that; one that terminates in a verified calculation can. That claim rests on the calculation rather than on the sample size, and it is the claim we make.</w:t>
      </w:r>
    </w:p>
    <w:p>
      <w:pPr>
        <w:pStyle w:val="BodyText"/>
      </w:pPr>
      <w:r>
        <w:t xml:space="preserve">What is claimed here can then be listed, together with what is not. First, this is one of very few LLM-hypothesized shape-memory compositions reported as carried physically from proposal through melting, processing and heat treatment to mechanical and synchrotron characterization; Sec. 1 gives the reason such tests are rare and published failures rarer. Second, the failure has a calculated explanation with a control. At the solution-treatment temperature the measured chemistry is calculated to be duplex α + γ in three independent databases, the same chemistry with carbon removed is single-phase α in all three, and the benchmark’s single-phase field is reproduced without fitting in the two databases able to carry it (Table 3, Fig. 9a); the duplex constitution the calculation predicts is the one observed in its phases, though not in its majority phase (Secs. 3.1, 3.3 and 4.1). The calculated condition is therefore documented rather than surmised: a required phase field lying in the wrong place relative to the processing window, at a carbon content inside the range the hypothesis permitted — 0.1–0.3 wt%, as the alternative to boron, with the melt at the minimum (Sec. 2.1); whether that condition is the operative cause of the null result is the question left open in Sec. 4.1. Third, the record shows where the workflow stopped: the report recommended a CALPHAD check and the melt proceeded without one. What is not claimed as new is the check itself. Screening a candidate composition against its intended processing window by equilibrium calculation is an established step in conventional alloy design</w:t>
      </w:r>
      <w:r>
        <w:t xml:space="preserve"> </w:t>
      </w:r>
      <w:r>
        <w:t xml:space="preserve">(Ref 26)</w:t>
      </w:r>
      <w:r>
        <w:t xml:space="preserve">, and the report’s own recommendation shows the agent treated it as one. The finding is that an LLM-assisted workflow omitted that established step, and that the step would have flagged this composition before melting, from the nominal composition and the processing ceiling alone (Sec. 3.4).</w:t>
      </w:r>
    </w:p>
    <w:p>
      <w:pPr>
        <w:pStyle w:val="BodyText"/>
      </w:pPr>
      <w:r>
        <w:t xml:space="preserve">It is also worth saying what a negative result of this kind is good for, since such results are rarely published in this area. A single documented failure with a calculated explanation does more to constrain the design space than a comparable number of untested proposals: it converts</w:t>
      </w:r>
      <w:r>
        <w:t xml:space="preserve"> </w:t>
      </w:r>
      <w:r>
        <w:t xml:space="preserve">“this family of compositions may or may not work”</w:t>
      </w:r>
      <w:r>
        <w:t xml:space="preserve"> </w:t>
      </w:r>
      <w:r>
        <w:t xml:space="preserve">into</w:t>
      </w:r>
      <w:r>
        <w:t xml:space="preserve"> </w:t>
      </w:r>
      <w:r>
        <w:t xml:space="preserve">“compositions in this family whose single-phase α field lies above the practical annealing limit cannot be given the benchmark’s solution treatment, and here is how to check in advance.”</w:t>
      </w:r>
      <w:r>
        <w:t xml:space="preserve"> </w:t>
      </w:r>
      <w:r>
        <w:t xml:space="preserve">The value is in the check being transferable even though the specific alloy is not.</w:t>
      </w:r>
    </w:p>
    <w:p>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read not as a failure of AI itself, nor as a measure of what current models can or cannot capture, but as a documented instance of a design workflow that stopped one calculation short of the check its own output recommended.</w:t>
      </w:r>
    </w:p>
    <w:p>
      <w:r>
        <w:pict>
          <v:rect style="width:0;height:1.5pt" o:hralign="center" o:hrstd="t" o:hr="t"/>
        </w:pict>
      </w:r>
    </w:p>
    <w:bookmarkEnd w:id="27"/>
    <w:bookmarkEnd w:id="28"/>
    <w:bookmarkStart w:id="29" w:name="conclusions"/>
    <w:p>
      <w:pPr>
        <w:pStyle w:val="Heading1"/>
      </w:pPr>
      <w:r>
        <w:t xml:space="preserve">5. Conclusions</w:t>
      </w:r>
    </w:p>
    <w:p>
      <w:pPr>
        <w:pStyle w:val="FirstParagraph"/>
      </w:pPr>
      <w:r>
        <w:t xml:space="preserve">An AI-guided deep-research workflow was used to design a low-cost Fe-Mn-Al-based alloy targeting room-temperature super-elasticity. One composition drawn from the agent’s proposal was synthesized and compared with the benchmark Fe-Mn-Al-Ni alloy reported by Omori</w:t>
      </w:r>
      <w:r>
        <w:t xml:space="preserve"> </w:t>
      </w:r>
      <w:r>
        <w:rPr>
          <w:i/>
          <w:iCs/>
        </w:rPr>
        <w:t xml:space="preserve">et al.</w:t>
      </w:r>
      <w:r>
        <w:t xml:space="preserve"> </w:t>
      </w:r>
      <w:r>
        <w:t xml:space="preserve">under the same nominal processing route; it lies inside the proposed range in Si, Ni and C and outside it in Mn and Al, on the austenite-favoring side (Sec. 2.1).</w:t>
      </w:r>
    </w:p>
    <w:p>
      <w:pPr>
        <w:pStyle w:val="BodyText"/>
      </w:pPr>
      <w:r>
        <w:rPr>
          <w:i/>
          <w:iCs/>
        </w:rPr>
        <w:t xml:space="preserve">Measured.</w:t>
      </w:r>
      <w:r>
        <w:t xml:space="preserve"> </w:t>
      </w:r>
      <w:r>
        <w:t xml:space="preserve">Across seven anneal temperatures its 0.2% proof stress fell from 1908 to 519 MPa and its elongation peaked at 33%, but in no condition — including after the 200 °C / 3 h age reported to develop pseudo-elasticity in this family — did the unloading curve depart from elastic springback. The benchmark, put through the same nominal anneal and given no age at all, recovered ≈0.5% strain on heating. Synchrotron diffraction, by a grain-statistics-limited Rietveld refinement, found the LLM-alloy, quenched from 1200 °C, to be a γ-majority duplex (≈62% FCC γ, ≈34% BCC α) carrying a minor ordered D0₃ Fe₃Al phase (≈4%), with a pattern unchanged by 10% strain, whereas the benchmark’s diffracted intensities changed markedly with deformation.</w:t>
      </w:r>
    </w:p>
    <w:p>
      <w:pPr>
        <w:pStyle w:val="BodyText"/>
      </w:pPr>
      <w:r>
        <w:rPr>
          <w:i/>
          <w:iCs/>
        </w:rPr>
        <w:t xml:space="preserve">Interpreted from these measurements.</w:t>
      </w:r>
      <w:r>
        <w:t xml:space="preserve"> </w:t>
      </w:r>
      <w:r>
        <w:t xml:space="preserve">The LLM-alloy, in the conditions reported, accommodates deformation by dislocation slip rather than stress-induced martensitic transformation, and after quenching the α parent that the transformation requires is the minority constituent.</w:t>
      </w:r>
    </w:p>
    <w:p>
      <w:pPr>
        <w:pStyle w:val="BodyText"/>
      </w:pPr>
      <w:r>
        <w:rPr>
          <w:i/>
          <w:iCs/>
        </w:rPr>
        <w:t xml:space="preserve">Calculated.</w:t>
      </w:r>
      <w:r>
        <w:t xml:space="preserve"> </w:t>
      </w:r>
      <w:r>
        <w:t xml:space="preserve">Equilibrium CALPHAD calculations were performed with three independent open databases, two of which reproduce the benchmark alloy’s single-phase α field without fitting. The benchmark solution-treats to single-phase α at 1200 °C and orders on cooling below ≈1090 °C (≈20% ordered bcc at equilibrium), providing the driving force for the B2 ordering its route exploits. The LLM-alloy does neither: at 1200 °C it is a two-phase α + γ mixture, and it begins to melt — at ≈1240–1295 °C depending on the database — before any single-phase α field opens. Removing carbon alone from the measured chemistry, with every other element held fixed, opens that field at ≈1130–1160 °C and restores the single-phase state at 1200 °C in all three databases. On this calculation a carbon addition of ≈0.10 wt%, the smallest of the five alloying changes that distinguish the two alloys, is sufficient to close the solution-treatment window on which the benchmark’s route depends. Compositions inside the proposed range fare no better on the calculation: the carbon-bearing compositions sampled inside the range — its midpoint and its most ferrite- and austenite-favoring corners — reach no single-phase disordered α at 1200 °C in either database able to evaluate them, and the proposal permitted carbon at 0.1–0.3 wt%, as the alternative to boron, with the melt at the carbon minimum; the boron option was not evaluated (Sec. 3.4).</w:t>
      </w:r>
    </w:p>
    <w:p>
      <w:pPr>
        <w:pStyle w:val="BodyText"/>
      </w:pPr>
      <w:r>
        <w:rPr>
          <w:i/>
          <w:iCs/>
        </w:rPr>
        <w:t xml:space="preserve">Open.</w:t>
      </w:r>
      <w:r>
        <w:t xml:space="preserve"> </w:t>
      </w:r>
      <w:r>
        <w:t xml:space="preserve">The calculated and measured constitutions agree that the alloy is duplex but not on which phase dominates: α is calculated to be the majority at 1200 °C (62–71%), γ is the majority after the quench (≈62%). Whether the γ excess was present at 1200 °C — because the databases overestimate α or because the wire was not carried to equilibrium in the anneal — or formed from α on cooling is not decided by the present data (Sec. 4.1), and the two readings bear differently on the explanation offered here. The calculated absence of a single-phase α field is therefore offered as the explanation the calculations support, not as a measured mechanism; what does not depend on the reading is the measured absence of transformation in the conditions reported and the calculated absence, in all three databases, of any solid-state single-phase α field from which the benchmark’s route could begin.</w:t>
      </w:r>
    </w:p>
    <w:p>
      <w:pPr>
        <w:pStyle w:val="BodyText"/>
      </w:pPr>
      <w:r>
        <w:t xml:space="preserve">What these results show about the design workflow is specific. The agent produced a composition with a coherent rationale and a stated performance target, recommended that phase stability be checked by CALPHAD to guide experimental design (Sec. 4.4), and the melt proceeded without that check. The omitted calculation, run here on the measured chemistry and, in Sec. 3.4, on the nominal composition, would have flagged this composition before it was melted: at the 1200 °C ceiling of the process the alloy is calculated to be duplex rather than the single-phase α the route requires, in all three databases (Table 3). The limitation documented here is therefore one of the workflow as it was run — a composition-level rationale carried to the furnace without a processing-window check — and not a demonstrated limit on what an LLM can propose; one candidate cannot establish the latter, and this study does not claim it.</w:t>
      </w:r>
    </w:p>
    <w:p>
      <w:pPr>
        <w:pStyle w:val="BodyText"/>
      </w:pPr>
      <w:r>
        <w:t xml:space="preserve">Three limitations bound these conclusions. First, this is a single composition from a single agent session processed by a single route: the experimental findings are a case study of that composition, the proposed range is examined only by calculation, and the generalizable claim is the diagnostic one about pre-screening rather than any statement about how often such workflows fail. Second, the reasoning that produced the composition stopped short of the distinction on which, on the calculation, this case turns — not whether a phase is stable, but whether the temperature at which it becomes stable can be reached in the equipment available. The report recommended the calculation that resolves that distinction and did not perform it (Sec. 4.4); whether the request put to the agent asked for such a calculation cannot be established, because the verbatim prompt was not preserved (Sec. 2.1); and whether a request that supplied the processing ceiling would have produced a candidate that both passes the screen and transforms was not tested here (Sec. 4.4). Third, whether a different processing window could unlock transformation in this composition is untested here, and casting the carbon-free variant identified in Sec. 4.2 remains the direct experiment that the in-silico control stands in for; the cyclically treated wire has not been given the loading–unloading–heating test, and the transformation temperatures of the alloy have not been measured (Sec. 4.4). Within those bounds, this work shows the value of testing AI-generated hypotheses experimentally and suggests that future models incorporating kinetic effects, phase transformations, and processing history may become powerful tools for accelerated alloy discovery.</w:t>
      </w:r>
    </w:p>
    <w:p>
      <w:r>
        <w:pict>
          <v:rect style="width:0;height:1.5pt" o:hralign="center" o:hrstd="t" o:hr="t"/>
        </w:pict>
      </w:r>
    </w:p>
    <w:bookmarkEnd w:id="29"/>
    <w:bookmarkStart w:id="30" w:name="acknowledgments"/>
    <w:p>
      <w:pPr>
        <w:pStyle w:val="Heading1"/>
      </w:pPr>
      <w:r>
        <w:t xml:space="preserve">Acknowledgments</w:t>
      </w:r>
    </w:p>
    <w:p>
      <w:pPr>
        <w:pStyle w:val="FirstParagraph"/>
      </w:pPr>
      <w:r>
        <w:t xml:space="preserve">The authors thank Fort Wayne Metals for providing access to melting, hot-rolling, cold-drawing, and metallography facilities, and for technical guidance throughout alloy synthesis.</w:t>
      </w:r>
    </w:p>
    <w:p>
      <w:pPr>
        <w:pStyle w:val="BodyText"/>
      </w:pPr>
      <w:r>
        <w:t xml:space="preserve">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r>
        <w:pict>
          <v:rect style="width:0;height:1.5pt" o:hralign="center" o:hrstd="t" o:hr="t"/>
        </w:pict>
      </w:r>
    </w:p>
    <w:bookmarkEnd w:id="30"/>
    <w:bookmarkStart w:id="31" w:name="declarations"/>
    <w:p>
      <w:pPr>
        <w:pStyle w:val="Heading1"/>
      </w:pPr>
      <w:r>
        <w:t xml:space="preserve">Declarations</w:t>
      </w:r>
    </w:p>
    <w:p>
      <w:pPr>
        <w:pStyle w:val="FirstParagraph"/>
      </w:pPr>
      <w:r>
        <w:rPr>
          <w:b/>
          <w:bCs/>
        </w:rPr>
        <w:t xml:space="preserve">Funding.</w:t>
      </w:r>
      <w:r>
        <w:t xml:space="preserve"> </w:t>
      </w:r>
      <w:r>
        <w:t xml:space="preserve">No external funding was received for this work.</w:t>
      </w:r>
    </w:p>
    <w:p>
      <w:pPr>
        <w:pStyle w:val="BodyText"/>
      </w:pPr>
      <w:r>
        <w:rPr>
          <w:b/>
          <w:bCs/>
        </w:rPr>
        <w:t xml:space="preserve">Conflicts of interest/Competing interests.</w:t>
      </w:r>
      <w:r>
        <w:t xml:space="preserve"> </w:t>
      </w:r>
      <w:r>
        <w:t xml:space="preserve">The authors have no relevant financial or non-financial interests to disclose.</w:t>
      </w:r>
    </w:p>
    <w:p>
      <w:pPr>
        <w:pStyle w:val="BodyText"/>
      </w:pPr>
      <w:r>
        <w:rPr>
          <w:b/>
          <w:bCs/>
        </w:rPr>
        <w:t xml:space="preserve">Author contributions.</w:t>
      </w:r>
      <w:r>
        <w:t xml:space="preserve"> </w:t>
      </w:r>
      <w:r>
        <w:t xml:space="preserve">F.Y. Cai: conceptualization, LLM-assisted alloy design, equilibrium calculations, data analysis, writing — original draft. S. Cai: alloy synthesis and processing, heat treatment, mechanical testing, metallography, writing — review and editing. X. Wang: supervision, writing — review and editing. J. Yan: synchrotron X-ray diffraction measurements. All authors read and approved the final manuscript.</w:t>
      </w:r>
    </w:p>
    <w:p>
      <w:pPr>
        <w:pStyle w:val="BodyText"/>
      </w:pPr>
      <w:r>
        <w:rPr>
          <w:b/>
          <w:bCs/>
        </w:rPr>
        <w:t xml:space="preserve">Ethics approval.</w:t>
      </w:r>
      <w:r>
        <w:t xml:space="preserve"> </w:t>
      </w:r>
      <w:r>
        <w:t xml:space="preserve">Not applicable.</w:t>
      </w:r>
    </w:p>
    <w:p>
      <w:pPr>
        <w:pStyle w:val="BodyText"/>
      </w:pPr>
      <w:r>
        <w:rPr>
          <w:b/>
          <w:bCs/>
        </w:rPr>
        <w:t xml:space="preserve">Generative AI use.</w:t>
      </w:r>
      <w:r>
        <w:t xml:space="preserve"> </w:t>
      </w:r>
      <w:r>
        <w:t xml:space="preserve">An LLM deep-research agent (Google Gemini 2.5, Deep Research) was used to hypothesize the LLM-alloy composition under study, as described in Sec. 2.1; this use is a study method and is itself the object of the investigation. No AI system generated experimental data or determined any reported measurement, and the authors reviewed the entire manuscript and take full responsibility for its content.</w:t>
      </w:r>
    </w:p>
    <w:p>
      <w:pPr>
        <w:pStyle w:val="BodyText"/>
      </w:pPr>
      <w:r>
        <w:rPr>
          <w:b/>
          <w:bCs/>
        </w:rPr>
        <w:t xml:space="preserve">Data availability.</w:t>
      </w:r>
      <w:r>
        <w:t xml:space="preserve"> </w:t>
      </w:r>
      <w:r>
        <w:t xml:space="preserve">Every specimen behind the figures and tables is listed in Table S1 (Online Resource 2), with its heat, form, heat treatment and test and, where applicable, its measured diameter, gauge length and number of specimens; every thermodynamic calculation is listed in Table S2, with its database, composition, phase set and grid. The chemistry certificates for both heats, the raw synchrotron detector frames and their azimuthal integrations, the load–extension exports of the tensile tests, and the metallographic images are available from the corresponding author on reasonable request. The calculation scripts, input compositions, raw phase-fraction output and Gibbs-energy arbitration logs behind Secs. 2.6 and 3.4 are likewise available on request; the thermodynamic databases are third-party assessments that are not redistributed and must be obtained from the sources cited in Sec. 2.6.</w:t>
      </w:r>
    </w:p>
    <w:p>
      <w:r>
        <w:pict>
          <v:rect style="width:0;height:1.5pt" o:hralign="center" o:hrstd="t" o:hr="t"/>
        </w:pict>
      </w:r>
    </w:p>
    <w:bookmarkEnd w:id="31"/>
    <w:bookmarkStart w:id="105" w:name="references"/>
    <w:p>
      <w:pPr>
        <w:pStyle w:val="Heading1"/>
      </w:pPr>
      <w:r>
        <w:t xml:space="preserve">References</w:t>
      </w:r>
    </w:p>
    <w:bookmarkStart w:id="104" w:name="refs"/>
    <w:bookmarkStart w:id="33" w:name="ref-merchant2023gnome"/>
    <w:p>
      <w:pPr>
        <w:pStyle w:val="Bibliography"/>
      </w:pPr>
      <w:r>
        <w:t xml:space="preserve">1.</w:t>
      </w:r>
      <w:r>
        <w:t xml:space="preserve"> </w:t>
      </w:r>
      <w:r>
        <w:t xml:space="preserve">	</w:t>
      </w:r>
      <w:r>
        <w:t xml:space="preserve">A. Merchant, S. Batzner, S.S. Schoenholz, M. Aykol, G. Cheon, and E.D. Cubuk, Scaling Deep Learning for Materials Discovery,</w:t>
      </w:r>
      <w:r>
        <w:t xml:space="preserve"> </w:t>
      </w:r>
      <w:r>
        <w:rPr>
          <w:i/>
          <w:iCs/>
        </w:rPr>
        <w:t xml:space="preserve">Nature</w:t>
      </w:r>
      <w:r>
        <w:t xml:space="preserve">, 2023,</w:t>
      </w:r>
      <w:r>
        <w:t xml:space="preserve"> </w:t>
      </w:r>
      <w:r>
        <w:rPr>
          <w:b/>
          <w:bCs/>
        </w:rPr>
        <w:t xml:space="preserve">624</w:t>
      </w:r>
      <w:r>
        <w:t xml:space="preserve">, p 80–85.</w:t>
      </w:r>
      <w:r>
        <w:t xml:space="preserve"> </w:t>
      </w:r>
      <w:hyperlink r:id="rId32">
        <w:r>
          <w:rPr>
            <w:rStyle w:val="Hyperlink"/>
          </w:rPr>
          <w:t xml:space="preserve">https://doi.org/10.1038/s41586-023-06735-9</w:t>
        </w:r>
      </w:hyperlink>
    </w:p>
    <w:bookmarkEnd w:id="33"/>
    <w:bookmarkStart w:id="35" w:name="ref-comanici2025gemini"/>
    <w:p>
      <w:pPr>
        <w:pStyle w:val="Bibliography"/>
      </w:pPr>
      <w:r>
        <w:t xml:space="preserve">2.</w:t>
      </w:r>
      <w:r>
        <w:t xml:space="preserve"> </w:t>
      </w:r>
      <w:r>
        <w:t xml:space="preserve">	</w:t>
      </w:r>
      <w:r>
        <w:t xml:space="preserve">Gemini Team, Google,</w:t>
      </w:r>
      <w:r>
        <w:t xml:space="preserve"> </w:t>
      </w:r>
      <w:r>
        <w:t xml:space="preserve">Gemini 2.5</w:t>
      </w:r>
      <w:r>
        <w:t xml:space="preserve">: Pushing the Frontier with Advanced Reasoning, Multimodality, Long Context, and Next Generation Agentic Capabilities,</w:t>
      </w:r>
      <w:r>
        <w:t xml:space="preserve"> </w:t>
      </w:r>
      <w:r>
        <w:t xml:space="preserve">arXiv</w:t>
      </w:r>
      <w:r>
        <w:t xml:space="preserve">:2507.06261, 2025.</w:t>
      </w:r>
      <w:r>
        <w:t xml:space="preserve"> </w:t>
      </w:r>
      <w:hyperlink r:id="rId34">
        <w:r>
          <w:rPr>
            <w:rStyle w:val="Hyperlink"/>
          </w:rPr>
          <w:t xml:space="preserve">https://doi.org/10.48550/arXiv.2507.06261</w:t>
        </w:r>
      </w:hyperlink>
    </w:p>
    <w:bookmarkEnd w:id="35"/>
    <w:bookmarkStart w:id="37" w:name="ref-xu2025deepresearch"/>
    <w:p>
      <w:pPr>
        <w:pStyle w:val="Bibliography"/>
      </w:pPr>
      <w:r>
        <w:t xml:space="preserve">3.</w:t>
      </w:r>
      <w:r>
        <w:t xml:space="preserve"> </w:t>
      </w:r>
      <w:r>
        <w:t xml:space="preserve">	</w:t>
      </w:r>
      <w:r>
        <w:t xml:space="preserve">R. Xu and J. Peng, A Comprehensive Survey of Deep Research: Systems, Methodologies, and Applications,</w:t>
      </w:r>
      <w:r>
        <w:t xml:space="preserve"> </w:t>
      </w:r>
      <w:r>
        <w:t xml:space="preserve">arXiv</w:t>
      </w:r>
      <w:r>
        <w:t xml:space="preserve">:2506.12594, 2025.</w:t>
      </w:r>
      <w:r>
        <w:t xml:space="preserve"> </w:t>
      </w:r>
      <w:hyperlink r:id="rId36">
        <w:r>
          <w:rPr>
            <w:rStyle w:val="Hyperlink"/>
          </w:rPr>
          <w:t xml:space="preserve">https://doi.org/10.48550/arXiv.2506.12594</w:t>
        </w:r>
      </w:hyperlink>
    </w:p>
    <w:bookmarkEnd w:id="37"/>
    <w:bookmarkStart w:id="39" w:name="ref-aims2022"/>
    <w:p>
      <w:pPr>
        <w:pStyle w:val="Bibliography"/>
      </w:pPr>
      <w:r>
        <w:t xml:space="preserve">4.</w:t>
      </w:r>
      <w:r>
        <w:t xml:space="preserve"> </w:t>
      </w:r>
      <w:r>
        <w:t xml:space="preserve">	</w:t>
      </w:r>
      <w:r>
        <w:t xml:space="preserve">W. Trehern, R. Ortiz-Ayala, K.C. Atli, R. Arróyave, and I. Karaman, Data-Driven Shape Memory Alloy Discovery Using Artificial Intelligence Materials Selection (</w:t>
      </w:r>
      <w:r>
        <w:t xml:space="preserve">AIMS</w:t>
      </w:r>
      <w:r>
        <w:t xml:space="preserve">) Framework,</w:t>
      </w:r>
      <w:r>
        <w:t xml:space="preserve"> </w:t>
      </w:r>
      <w:r>
        <w:rPr>
          <w:i/>
          <w:iCs/>
        </w:rPr>
        <w:t xml:space="preserve">Acta Mater.</w:t>
      </w:r>
      <w:r>
        <w:t xml:space="preserve">, 2022,</w:t>
      </w:r>
      <w:r>
        <w:t xml:space="preserve"> </w:t>
      </w:r>
      <w:r>
        <w:rPr>
          <w:b/>
          <w:bCs/>
        </w:rPr>
        <w:t xml:space="preserve">228</w:t>
      </w:r>
      <w:r>
        <w:t xml:space="preserve">, p 117751.</w:t>
      </w:r>
      <w:r>
        <w:t xml:space="preserve"> </w:t>
      </w:r>
      <w:hyperlink r:id="rId38">
        <w:r>
          <w:rPr>
            <w:rStyle w:val="Hyperlink"/>
          </w:rPr>
          <w:t xml:space="preserve">https://doi.org/10.1016/j.actamat.2022.117751</w:t>
        </w:r>
      </w:hyperlink>
    </w:p>
    <w:bookmarkEnd w:id="39"/>
    <w:bookmarkStart w:id="41" w:name="ref-generativeinversion2025"/>
    <w:p>
      <w:pPr>
        <w:pStyle w:val="Bibliography"/>
      </w:pPr>
      <w:r>
        <w:t xml:space="preserve">5.</w:t>
      </w:r>
      <w:r>
        <w:t xml:space="preserve"> </w:t>
      </w:r>
      <w:r>
        <w:t xml:space="preserve">	</w:t>
      </w:r>
      <w:r>
        <w:t xml:space="preserve">C. Li, P. Dang, Y. Xian, Y. Zhou, B. Shi, X. Ding, J. Sun, and D. Xue, Generative Inverse Design for Property-Targeted Materials Design: Application to Shape Memory Alloys,</w:t>
      </w:r>
      <w:r>
        <w:t xml:space="preserve"> </w:t>
      </w:r>
      <w:r>
        <w:rPr>
          <w:i/>
          <w:iCs/>
        </w:rPr>
        <w:t xml:space="preserve">Adv. Funct. Mater.</w:t>
      </w:r>
      <w:r>
        <w:t xml:space="preserve">, 2026,</w:t>
      </w:r>
      <w:r>
        <w:t xml:space="preserve"> </w:t>
      </w:r>
      <w:r>
        <w:rPr>
          <w:b/>
          <w:bCs/>
        </w:rPr>
        <w:t xml:space="preserve">36</w:t>
      </w:r>
      <w:r>
        <w:t xml:space="preserve">(46), p e27774.</w:t>
      </w:r>
      <w:r>
        <w:t xml:space="preserve"> </w:t>
      </w:r>
      <w:hyperlink r:id="rId40">
        <w:r>
          <w:rPr>
            <w:rStyle w:val="Hyperlink"/>
          </w:rPr>
          <w:t xml:space="preserve">https://doi.org/10.1002/adfm.202527774</w:t>
        </w:r>
      </w:hyperlink>
    </w:p>
    <w:bookmarkEnd w:id="41"/>
    <w:bookmarkStart w:id="43" w:name="ref-hu2024beyond"/>
    <w:p>
      <w:pPr>
        <w:pStyle w:val="Bibliography"/>
      </w:pPr>
      <w:r>
        <w:t xml:space="preserve">6.</w:t>
      </w:r>
      <w:r>
        <w:t xml:space="preserve"> </w:t>
      </w:r>
      <w:r>
        <w:t xml:space="preserve">	</w:t>
      </w:r>
      <w:r>
        <w:t xml:space="preserve">Q. Liu, M.P. Polak, S.Y. Kim, M.A.A. Shuvo, H.S. Deodhar, J. Han, D. Morgan, and H. Oh, Beyond Designer’s Knowledge: Generating Materials Design Hypotheses via a Large Language Model,</w:t>
      </w:r>
      <w:r>
        <w:t xml:space="preserve"> </w:t>
      </w:r>
      <w:r>
        <w:rPr>
          <w:i/>
          <w:iCs/>
        </w:rPr>
        <w:t xml:space="preserve">Acta Mater.</w:t>
      </w:r>
      <w:r>
        <w:t xml:space="preserve">, 2025,</w:t>
      </w:r>
      <w:r>
        <w:t xml:space="preserve"> </w:t>
      </w:r>
      <w:r>
        <w:rPr>
          <w:b/>
          <w:bCs/>
        </w:rPr>
        <w:t xml:space="preserve">297</w:t>
      </w:r>
      <w:r>
        <w:t xml:space="preserve">, p 121307.</w:t>
      </w:r>
      <w:r>
        <w:t xml:space="preserve"> </w:t>
      </w:r>
      <w:hyperlink r:id="rId42">
        <w:r>
          <w:rPr>
            <w:rStyle w:val="Hyperlink"/>
          </w:rPr>
          <w:t xml:space="preserve">https://doi.org/10.1016/j.actamat.2025.121307</w:t>
        </w:r>
      </w:hyperlink>
    </w:p>
    <w:bookmarkEnd w:id="43"/>
    <w:bookmarkStart w:id="44" w:name="ref-otsuka2005physical"/>
    <w:p>
      <w:pPr>
        <w:pStyle w:val="Bibliography"/>
      </w:pPr>
      <w:r>
        <w:t xml:space="preserve">7.</w:t>
      </w:r>
      <w:r>
        <w:t xml:space="preserve"> </w:t>
      </w:r>
      <w:r>
        <w:t xml:space="preserve">	</w:t>
      </w:r>
      <w:r>
        <w:t xml:space="preserve">K. Otsuka and C.M. Wayman, Physical Metallurgy of Titanium-Nickel-Based Shape Memory Alloys, Cambridge University Press, 1998.</w:t>
      </w:r>
    </w:p>
    <w:bookmarkEnd w:id="44"/>
    <w:bookmarkStart w:id="46" w:name="ref-lagoudas2008shape"/>
    <w:p>
      <w:pPr>
        <w:pStyle w:val="Bibliography"/>
      </w:pPr>
      <w:r>
        <w:t xml:space="preserve">8.</w:t>
      </w:r>
      <w:r>
        <w:t xml:space="preserve"> </w:t>
      </w:r>
      <w:r>
        <w:t xml:space="preserve">	</w:t>
      </w:r>
      <w:r>
        <w:t xml:space="preserve">D.C. Lagoudas, Ed., Shape Memory Alloys: Modeling and Engineering Applications, Springer, 2008.</w:t>
      </w:r>
      <w:r>
        <w:t xml:space="preserve"> </w:t>
      </w:r>
      <w:hyperlink r:id="rId45">
        <w:r>
          <w:rPr>
            <w:rStyle w:val="Hyperlink"/>
          </w:rPr>
          <w:t xml:space="preserve">https://doi.org/10.1007/978-0-387-47685-8</w:t>
        </w:r>
      </w:hyperlink>
    </w:p>
    <w:bookmarkEnd w:id="46"/>
    <w:bookmarkStart w:id="48" w:name="ref-duerig1999overview"/>
    <w:p>
      <w:pPr>
        <w:pStyle w:val="Bibliography"/>
      </w:pPr>
      <w:r>
        <w:t xml:space="preserve">9.</w:t>
      </w:r>
      <w:r>
        <w:t xml:space="preserve"> </w:t>
      </w:r>
      <w:r>
        <w:t xml:space="preserve">	</w:t>
      </w:r>
      <w:r>
        <w:t xml:space="preserve">T. Duerig, A. Pelton, and D. Stöckel, An Overview of Nitinol Medical Applications,</w:t>
      </w:r>
      <w:r>
        <w:t xml:space="preserve"> </w:t>
      </w:r>
      <w:r>
        <w:rPr>
          <w:i/>
          <w:iCs/>
        </w:rPr>
        <w:t xml:space="preserve">Mater. Sci. Eng. A</w:t>
      </w:r>
      <w:r>
        <w:t xml:space="preserve">, 1999,</w:t>
      </w:r>
      <w:r>
        <w:t xml:space="preserve"> </w:t>
      </w:r>
      <w:r>
        <w:rPr>
          <w:b/>
          <w:bCs/>
        </w:rPr>
        <w:t xml:space="preserve">273–275</w:t>
      </w:r>
      <w:r>
        <w:t xml:space="preserve">, p 149–160.</w:t>
      </w:r>
      <w:r>
        <w:t xml:space="preserve"> </w:t>
      </w:r>
      <w:hyperlink r:id="rId47">
        <w:r>
          <w:rPr>
            <w:rStyle w:val="Hyperlink"/>
          </w:rPr>
          <w:t xml:space="preserve">https://doi.org/10.1016/S0921-5093(99)00294-4</w:t>
        </w:r>
      </w:hyperlink>
    </w:p>
    <w:bookmarkEnd w:id="48"/>
    <w:bookmarkStart w:id="50" w:name="ref-mohd2014nitinol"/>
    <w:p>
      <w:pPr>
        <w:pStyle w:val="Bibliography"/>
      </w:pPr>
      <w:r>
        <w:t xml:space="preserve">10.</w:t>
      </w:r>
      <w:r>
        <w:t xml:space="preserve"> </w:t>
      </w:r>
      <w:r>
        <w:t xml:space="preserve">	</w:t>
      </w:r>
      <w:r>
        <w:t xml:space="preserve">J. Mohd Jani, M. Leary, A. Subic, and M.A. Gibson, A Review of Shape Memory Alloy Research, Applications and Opportunities,</w:t>
      </w:r>
      <w:r>
        <w:t xml:space="preserve"> </w:t>
      </w:r>
      <w:r>
        <w:rPr>
          <w:i/>
          <w:iCs/>
        </w:rPr>
        <w:t xml:space="preserve">Mater. Des.</w:t>
      </w:r>
      <w:r>
        <w:t xml:space="preserve">, 2014,</w:t>
      </w:r>
      <w:r>
        <w:t xml:space="preserve"> </w:t>
      </w:r>
      <w:r>
        <w:rPr>
          <w:b/>
          <w:bCs/>
        </w:rPr>
        <w:t xml:space="preserve">56</w:t>
      </w:r>
      <w:r>
        <w:t xml:space="preserve">, p 1078–1113.</w:t>
      </w:r>
      <w:r>
        <w:t xml:space="preserve"> </w:t>
      </w:r>
      <w:hyperlink r:id="rId49">
        <w:r>
          <w:rPr>
            <w:rStyle w:val="Hyperlink"/>
          </w:rPr>
          <w:t xml:space="preserve">https://doi.org/10.1016/j.matdes.2013.11.084</w:t>
        </w:r>
      </w:hyperlink>
    </w:p>
    <w:bookmarkEnd w:id="50"/>
    <w:bookmarkStart w:id="52" w:name="ref-cladera2014ironbased"/>
    <w:p>
      <w:pPr>
        <w:pStyle w:val="Bibliography"/>
      </w:pPr>
      <w:r>
        <w:t xml:space="preserve">11.</w:t>
      </w:r>
      <w:r>
        <w:t xml:space="preserve"> </w:t>
      </w:r>
      <w:r>
        <w:t xml:space="preserve">	</w:t>
      </w:r>
      <w:r>
        <w:t xml:space="preserve">A. Cladera, B. Weber, C. Leinenbach, C. Czaderski, M. Shahverdi, and M. Motavalli, Iron-Based Shape Memory Alloys for Civil Engineering Structures: An Overview,</w:t>
      </w:r>
      <w:r>
        <w:t xml:space="preserve"> </w:t>
      </w:r>
      <w:r>
        <w:rPr>
          <w:i/>
          <w:iCs/>
        </w:rPr>
        <w:t xml:space="preserve">Constr. Build. Mater.</w:t>
      </w:r>
      <w:r>
        <w:t xml:space="preserve">, 2014,</w:t>
      </w:r>
      <w:r>
        <w:t xml:space="preserve"> </w:t>
      </w:r>
      <w:r>
        <w:rPr>
          <w:b/>
          <w:bCs/>
        </w:rPr>
        <w:t xml:space="preserve">63</w:t>
      </w:r>
      <w:r>
        <w:t xml:space="preserve">, p 281–293.</w:t>
      </w:r>
      <w:r>
        <w:t xml:space="preserve"> </w:t>
      </w:r>
      <w:hyperlink r:id="rId51">
        <w:r>
          <w:rPr>
            <w:rStyle w:val="Hyperlink"/>
          </w:rPr>
          <w:t xml:space="preserve">https://doi.org/10.1016/j.conbuildmat.2014.04.032</w:t>
        </w:r>
      </w:hyperlink>
    </w:p>
    <w:bookmarkEnd w:id="52"/>
    <w:bookmarkStart w:id="54" w:name="ref-omori2011superelastic"/>
    <w:p>
      <w:pPr>
        <w:pStyle w:val="Bibliography"/>
      </w:pPr>
      <w:r>
        <w:t xml:space="preserve">12.</w:t>
      </w:r>
      <w:r>
        <w:t xml:space="preserve"> </w:t>
      </w:r>
      <w:r>
        <w:t xml:space="preserve">	</w:t>
      </w:r>
      <w:r>
        <w:t xml:space="preserve">T. Omori, K. Ando, M. Okano, X. Xu, Y. Tanaka, I. Ohnuma, R. Kainuma, and K. Ishida, Superelastic Effect in Polycrystalline Ferrous Alloys,</w:t>
      </w:r>
      <w:r>
        <w:t xml:space="preserve"> </w:t>
      </w:r>
      <w:r>
        <w:rPr>
          <w:i/>
          <w:iCs/>
        </w:rPr>
        <w:t xml:space="preserve">Science</w:t>
      </w:r>
      <w:r>
        <w:t xml:space="preserve">, 2011,</w:t>
      </w:r>
      <w:r>
        <w:t xml:space="preserve"> </w:t>
      </w:r>
      <w:r>
        <w:rPr>
          <w:b/>
          <w:bCs/>
        </w:rPr>
        <w:t xml:space="preserve">333</w:t>
      </w:r>
      <w:r>
        <w:t xml:space="preserve">(6038), p 68–71.</w:t>
      </w:r>
      <w:r>
        <w:t xml:space="preserve"> </w:t>
      </w:r>
      <w:hyperlink r:id="rId53">
        <w:r>
          <w:rPr>
            <w:rStyle w:val="Hyperlink"/>
          </w:rPr>
          <w:t xml:space="preserve">https://doi.org/10.1126/science.1202232</w:t>
        </w:r>
      </w:hyperlink>
    </w:p>
    <w:bookmarkEnd w:id="54"/>
    <w:bookmarkStart w:id="56" w:name="ref-vollmer2016cyclic"/>
    <w:p>
      <w:pPr>
        <w:pStyle w:val="Bibliography"/>
      </w:pPr>
      <w:r>
        <w:t xml:space="preserve">13.</w:t>
      </w:r>
      <w:r>
        <w:t xml:space="preserve"> </w:t>
      </w:r>
      <w:r>
        <w:t xml:space="preserve">	</w:t>
      </w:r>
      <w:r>
        <w:t xml:space="preserve">M. Vollmer, P. Krooß, M.J. Kriegel, V. Klemm, C. Somsen, H. Ozcan, I. Karaman, A. Weidner, D. Rafaja, H. Biermann, and T. Niendorf, Cyclic Degradation in Bamboo-Like</w:t>
      </w:r>
      <w:r>
        <w:t xml:space="preserve"> </w:t>
      </w:r>
      <w:r>
        <w:t xml:space="preserve">Fe-Mn-Al-Ni</w:t>
      </w:r>
      <w:r>
        <w:t xml:space="preserve"> </w:t>
      </w:r>
      <w:r>
        <w:t xml:space="preserve">Shape Memory Alloys: The Role of Grain Orientation,</w:t>
      </w:r>
      <w:r>
        <w:t xml:space="preserve"> </w:t>
      </w:r>
      <w:r>
        <w:rPr>
          <w:i/>
          <w:iCs/>
        </w:rPr>
        <w:t xml:space="preserve">Scr. Mater.</w:t>
      </w:r>
      <w:r>
        <w:t xml:space="preserve">, 2016,</w:t>
      </w:r>
      <w:r>
        <w:t xml:space="preserve"> </w:t>
      </w:r>
      <w:r>
        <w:rPr>
          <w:b/>
          <w:bCs/>
        </w:rPr>
        <w:t xml:space="preserve">114</w:t>
      </w:r>
      <w:r>
        <w:t xml:space="preserve">, p 156–160.</w:t>
      </w:r>
      <w:r>
        <w:t xml:space="preserve"> </w:t>
      </w:r>
      <w:hyperlink r:id="rId55">
        <w:r>
          <w:rPr>
            <w:rStyle w:val="Hyperlink"/>
          </w:rPr>
          <w:t xml:space="preserve">https://doi.org/10.1016/j.scriptamat.2015.12.007</w:t>
        </w:r>
      </w:hyperlink>
    </w:p>
    <w:bookmarkEnd w:id="56"/>
    <w:bookmarkStart w:id="58" w:name="ref-abuzaid2019femnnial"/>
    <w:p>
      <w:pPr>
        <w:pStyle w:val="Bibliography"/>
      </w:pPr>
      <w:r>
        <w:t xml:space="preserve">14.</w:t>
      </w:r>
      <w:r>
        <w:t xml:space="preserve"> </w:t>
      </w:r>
      <w:r>
        <w:t xml:space="preserve">	</w:t>
      </w:r>
      <w:r>
        <w:t xml:space="preserve">W. Abuzaid, Y. Wu, R. Sidharth, F. Brenne, S. Alkan, M. Vollmer, P. Krooß, T. Niendorf, and H. Sehitoglu,</w:t>
      </w:r>
      <w:r>
        <w:t xml:space="preserve"> </w:t>
      </w:r>
      <w:r>
        <w:t xml:space="preserve">FeMnNiAl</w:t>
      </w:r>
      <w:r>
        <w:t xml:space="preserve"> </w:t>
      </w:r>
      <w:r>
        <w:t xml:space="preserve">Iron-Based Shape Memory Alloy: Promises and Challenges,</w:t>
      </w:r>
      <w:r>
        <w:t xml:space="preserve"> </w:t>
      </w:r>
      <w:r>
        <w:rPr>
          <w:i/>
          <w:iCs/>
        </w:rPr>
        <w:t xml:space="preserve">Shape Mem. Superelasticity</w:t>
      </w:r>
      <w:r>
        <w:t xml:space="preserve">, 2019,</w:t>
      </w:r>
      <w:r>
        <w:t xml:space="preserve"> </w:t>
      </w:r>
      <w:r>
        <w:rPr>
          <w:b/>
          <w:bCs/>
        </w:rPr>
        <w:t xml:space="preserve">5</w:t>
      </w:r>
      <w:r>
        <w:t xml:space="preserve">, p 263–277.</w:t>
      </w:r>
      <w:r>
        <w:t xml:space="preserve"> </w:t>
      </w:r>
      <w:hyperlink r:id="rId57">
        <w:r>
          <w:rPr>
            <w:rStyle w:val="Hyperlink"/>
          </w:rPr>
          <w:t xml:space="preserve">https://doi.org/10.1007/s40830-019-00230-9</w:t>
        </w:r>
      </w:hyperlink>
    </w:p>
    <w:bookmarkEnd w:id="58"/>
    <w:bookmarkStart w:id="60" w:name="ref-omori2017martensitic"/>
    <w:p>
      <w:pPr>
        <w:pStyle w:val="Bibliography"/>
      </w:pPr>
      <w:r>
        <w:t xml:space="preserve">15.</w:t>
      </w:r>
      <w:r>
        <w:t xml:space="preserve"> </w:t>
      </w:r>
      <w:r>
        <w:t xml:space="preserve">	</w:t>
      </w:r>
      <w:r>
        <w:t xml:space="preserve">T. Omori and R. Kainuma, Martensitic Transformation and Superelasticity in Fe-Mn-Al-Based Shape Memory Alloys,</w:t>
      </w:r>
      <w:r>
        <w:t xml:space="preserve"> </w:t>
      </w:r>
      <w:r>
        <w:rPr>
          <w:i/>
          <w:iCs/>
        </w:rPr>
        <w:t xml:space="preserve">Shape Mem. Superelasticity</w:t>
      </w:r>
      <w:r>
        <w:t xml:space="preserve">, 2017,</w:t>
      </w:r>
      <w:r>
        <w:t xml:space="preserve"> </w:t>
      </w:r>
      <w:r>
        <w:rPr>
          <w:b/>
          <w:bCs/>
        </w:rPr>
        <w:t xml:space="preserve">3</w:t>
      </w:r>
      <w:r>
        <w:t xml:space="preserve">, p 322–334.</w:t>
      </w:r>
      <w:r>
        <w:t xml:space="preserve"> </w:t>
      </w:r>
      <w:hyperlink r:id="rId59">
        <w:r>
          <w:rPr>
            <w:rStyle w:val="Hyperlink"/>
          </w:rPr>
          <w:t xml:space="preserve">https://doi.org/10.1007/s40830-017-0129-9</w:t>
        </w:r>
      </w:hyperlink>
    </w:p>
    <w:bookmarkEnd w:id="60"/>
    <w:bookmarkStart w:id="62" w:name="ref-rahnama2017acta"/>
    <w:p>
      <w:pPr>
        <w:pStyle w:val="Bibliography"/>
      </w:pPr>
      <w:r>
        <w:t xml:space="preserve">16.</w:t>
      </w:r>
      <w:r>
        <w:t xml:space="preserve"> </w:t>
      </w:r>
      <w:r>
        <w:t xml:space="preserve">	</w:t>
      </w:r>
      <w:r>
        <w:t xml:space="preserve">A. Rahnama, H. Kotadia, and S. Sridhar, Effect of</w:t>
      </w:r>
      <w:r>
        <w:t xml:space="preserve"> </w:t>
      </w:r>
      <w:r>
        <w:t xml:space="preserve">Ni</w:t>
      </w:r>
      <w:r>
        <w:t xml:space="preserve"> </w:t>
      </w:r>
      <w:r>
        <w:t xml:space="preserve">Alloying on the Microstructural Evolution and Mechanical Properties of Two Duplex Light-Weight Steels During Different Annealing Temperatures: Experiment and Phase-Field Simulation,</w:t>
      </w:r>
      <w:r>
        <w:t xml:space="preserve"> </w:t>
      </w:r>
      <w:r>
        <w:rPr>
          <w:i/>
          <w:iCs/>
        </w:rPr>
        <w:t xml:space="preserve">Acta Mater.</w:t>
      </w:r>
      <w:r>
        <w:t xml:space="preserve">, 2017,</w:t>
      </w:r>
      <w:r>
        <w:t xml:space="preserve"> </w:t>
      </w:r>
      <w:r>
        <w:rPr>
          <w:b/>
          <w:bCs/>
        </w:rPr>
        <w:t xml:space="preserve">132</w:t>
      </w:r>
      <w:r>
        <w:t xml:space="preserve">, p 627–643.</w:t>
      </w:r>
      <w:r>
        <w:t xml:space="preserve"> </w:t>
      </w:r>
      <w:hyperlink r:id="rId61">
        <w:r>
          <w:rPr>
            <w:rStyle w:val="Hyperlink"/>
          </w:rPr>
          <w:t xml:space="preserve">https://doi.org/10.1016/j.actamat.2017.03.043</w:t>
        </w:r>
      </w:hyperlink>
    </w:p>
    <w:bookmarkEnd w:id="62"/>
    <w:bookmarkStart w:id="64" w:name="ref-saha2022jom"/>
    <w:p>
      <w:pPr>
        <w:pStyle w:val="Bibliography"/>
      </w:pPr>
      <w:r>
        <w:t xml:space="preserve">17.</w:t>
      </w:r>
      <w:r>
        <w:t xml:space="preserve"> </w:t>
      </w:r>
      <w:r>
        <w:t xml:space="preserve">	</w:t>
      </w:r>
      <w:r>
        <w:t xml:space="preserve">M. Saha, M.B. Ponnuchamy, M. Sadhasivam, C. Mahata, G. Vijayaragavan, K. Gururaj, K. Suresh, N. Chandrasekaran, D. Prabhu, K. Kumbhar, and K.G. Pradeep, Revealing the Localization of</w:t>
      </w:r>
      <w:r>
        <w:t xml:space="preserve"> </w:t>
      </w:r>
      <w:r>
        <w:t xml:space="preserve">NiAl</w:t>
      </w:r>
      <w:r>
        <w:t xml:space="preserve">-Type Nano-Scale</w:t>
      </w:r>
      <w:r>
        <w:t xml:space="preserve"> </w:t>
      </w:r>
      <w:r>
        <w:t xml:space="preserve">B2</w:t>
      </w:r>
      <w:r>
        <w:t xml:space="preserve"> </w:t>
      </w:r>
      <w:r>
        <w:t xml:space="preserve">Precipitates Within the</w:t>
      </w:r>
      <w:r>
        <w:t xml:space="preserve"> </w:t>
      </w:r>
      <w:r>
        <w:t xml:space="preserve">BCC</w:t>
      </w:r>
      <w:r>
        <w:t xml:space="preserve"> </w:t>
      </w:r>
      <w:r>
        <w:t xml:space="preserve">Phase of</w:t>
      </w:r>
      <w:r>
        <w:t xml:space="preserve"> </w:t>
      </w:r>
      <w:r>
        <w:t xml:space="preserve">Ni</w:t>
      </w:r>
      <w:r>
        <w:t xml:space="preserve">-Alloyed Low-Density</w:t>
      </w:r>
      <w:r>
        <w:t xml:space="preserve"> </w:t>
      </w:r>
      <w:r>
        <w:t xml:space="preserve">FeMnAlC</w:t>
      </w:r>
      <w:r>
        <w:t xml:space="preserve"> </w:t>
      </w:r>
      <w:r>
        <w:t xml:space="preserve">Steel,</w:t>
      </w:r>
      <w:r>
        <w:t xml:space="preserve"> </w:t>
      </w:r>
      <w:r>
        <w:rPr>
          <w:i/>
          <w:iCs/>
        </w:rPr>
        <w:t xml:space="preserve">JOM</w:t>
      </w:r>
      <w:r>
        <w:t xml:space="preserve">, 2022,</w:t>
      </w:r>
      <w:r>
        <w:t xml:space="preserve"> </w:t>
      </w:r>
      <w:r>
        <w:rPr>
          <w:b/>
          <w:bCs/>
        </w:rPr>
        <w:t xml:space="preserve">74</w:t>
      </w:r>
      <w:r>
        <w:t xml:space="preserve">(8), p 3181–3190.</w:t>
      </w:r>
      <w:r>
        <w:t xml:space="preserve"> </w:t>
      </w:r>
      <w:hyperlink r:id="rId63">
        <w:r>
          <w:rPr>
            <w:rStyle w:val="Hyperlink"/>
          </w:rPr>
          <w:t xml:space="preserve">https://doi.org/10.1007/s11837-022-05349-2</w:t>
        </w:r>
      </w:hyperlink>
    </w:p>
    <w:bookmarkEnd w:id="64"/>
    <w:bookmarkStart w:id="66" w:name="ref-omori2016agg"/>
    <w:p>
      <w:pPr>
        <w:pStyle w:val="Bibliography"/>
      </w:pPr>
      <w:r>
        <w:t xml:space="preserve">18.</w:t>
      </w:r>
      <w:r>
        <w:t xml:space="preserve"> </w:t>
      </w:r>
      <w:r>
        <w:t xml:space="preserve">	</w:t>
      </w:r>
      <w:r>
        <w:t xml:space="preserve">T. Omori, H. Iwaizako, and R. Kainuma, Abnormal Grain Growth Induced by Cyclic Heat Treatment in</w:t>
      </w:r>
      <w:r>
        <w:t xml:space="preserve"> </w:t>
      </w:r>
      <w:r>
        <w:t xml:space="preserve">Fe-Mn-Al-Ni</w:t>
      </w:r>
      <w:r>
        <w:t xml:space="preserve"> </w:t>
      </w:r>
      <w:r>
        <w:t xml:space="preserve">Superelastic Alloy,</w:t>
      </w:r>
      <w:r>
        <w:t xml:space="preserve"> </w:t>
      </w:r>
      <w:r>
        <w:rPr>
          <w:i/>
          <w:iCs/>
        </w:rPr>
        <w:t xml:space="preserve">Mater. Des.</w:t>
      </w:r>
      <w:r>
        <w:t xml:space="preserve">, 2016,</w:t>
      </w:r>
      <w:r>
        <w:t xml:space="preserve"> </w:t>
      </w:r>
      <w:r>
        <w:rPr>
          <w:b/>
          <w:bCs/>
        </w:rPr>
        <w:t xml:space="preserve">101</w:t>
      </w:r>
      <w:r>
        <w:t xml:space="preserve">, p 263–269.</w:t>
      </w:r>
      <w:r>
        <w:t xml:space="preserve"> </w:t>
      </w:r>
      <w:hyperlink r:id="rId65">
        <w:r>
          <w:rPr>
            <w:rStyle w:val="Hyperlink"/>
          </w:rPr>
          <w:t xml:space="preserve">https://doi.org/10.1016/j.matdes.2016.04.011</w:t>
        </w:r>
      </w:hyperlink>
    </w:p>
    <w:bookmarkEnd w:id="66"/>
    <w:bookmarkStart w:id="68" w:name="ref-viebranz2024agg"/>
    <w:p>
      <w:pPr>
        <w:pStyle w:val="Bibliography"/>
      </w:pPr>
      <w:r>
        <w:t xml:space="preserve">19.</w:t>
      </w:r>
      <w:r>
        <w:t xml:space="preserve"> </w:t>
      </w:r>
      <w:r>
        <w:t xml:space="preserve">	</w:t>
      </w:r>
      <w:r>
        <w:t xml:space="preserve">V.F. Viebranz, A. Bauer, T. Hassel, T. Niendorf, and H.J. Maier, Abnormal Grain Growth and Pseudoelasticity of Industrially Processed</w:t>
      </w:r>
      <w:r>
        <w:t xml:space="preserve"> </w:t>
      </w:r>
      <w:r>
        <w:t xml:space="preserve">Fe–Mn–Al–Ni</w:t>
      </w:r>
      <w:r>
        <w:t xml:space="preserve"> </w:t>
      </w:r>
      <w:r>
        <w:t xml:space="preserve">Shape Memory Alloy Joined by Metal Inert Gas Welding,</w:t>
      </w:r>
      <w:r>
        <w:t xml:space="preserve"> </w:t>
      </w:r>
      <w:r>
        <w:rPr>
          <w:i/>
          <w:iCs/>
        </w:rPr>
        <w:t xml:space="preserve">Metall. Mater. Trans. A</w:t>
      </w:r>
      <w:r>
        <w:t xml:space="preserve">, 2024,</w:t>
      </w:r>
      <w:r>
        <w:t xml:space="preserve"> </w:t>
      </w:r>
      <w:r>
        <w:rPr>
          <w:b/>
          <w:bCs/>
        </w:rPr>
        <w:t xml:space="preserve">55</w:t>
      </w:r>
      <w:r>
        <w:t xml:space="preserve">(4), p 1065–1080.</w:t>
      </w:r>
      <w:r>
        <w:t xml:space="preserve"> </w:t>
      </w:r>
      <w:hyperlink r:id="rId67">
        <w:r>
          <w:rPr>
            <w:rStyle w:val="Hyperlink"/>
          </w:rPr>
          <w:t xml:space="preserve">https://doi.org/10.1007/s11661-024-07304-z</w:t>
        </w:r>
      </w:hyperlink>
    </w:p>
    <w:bookmarkEnd w:id="68"/>
    <w:bookmarkStart w:id="70" w:name="ref-cai2024niticu"/>
    <w:p>
      <w:pPr>
        <w:pStyle w:val="Bibliography"/>
      </w:pPr>
      <w:r>
        <w:t xml:space="preserve">20.</w:t>
      </w:r>
      <w:r>
        <w:t xml:space="preserve"> </w:t>
      </w:r>
      <w:r>
        <w:t xml:space="preserve">	</w:t>
      </w:r>
      <w:r>
        <w:t xml:space="preserve">S. Cai, J.E. Schaffer, T. Shi, J. Gao, and L. Kadeřávek, Effect of</w:t>
      </w:r>
      <w:r>
        <w:t xml:space="preserve"> </w:t>
      </w:r>
      <w:r>
        <w:t xml:space="preserve">Cu</w:t>
      </w:r>
      <w:r>
        <w:t xml:space="preserve"> </w:t>
      </w:r>
      <w:r>
        <w:t xml:space="preserve">Alloying and Heat Treatment Parameters on</w:t>
      </w:r>
      <w:r>
        <w:t xml:space="preserve"> </w:t>
      </w:r>
      <w:r>
        <w:t xml:space="preserve">NiTi</w:t>
      </w:r>
      <w:r>
        <w:t xml:space="preserve"> </w:t>
      </w:r>
      <w:r>
        <w:t xml:space="preserve">Alloy Phase Stability and Constitutive Behavior,</w:t>
      </w:r>
      <w:r>
        <w:t xml:space="preserve"> </w:t>
      </w:r>
      <w:r>
        <w:rPr>
          <w:i/>
          <w:iCs/>
        </w:rPr>
        <w:t xml:space="preserve">Shape Mem. Superelasticity</w:t>
      </w:r>
      <w:r>
        <w:t xml:space="preserve">, 2024,</w:t>
      </w:r>
      <w:r>
        <w:t xml:space="preserve"> </w:t>
      </w:r>
      <w:r>
        <w:rPr>
          <w:b/>
          <w:bCs/>
        </w:rPr>
        <w:t xml:space="preserve">10</w:t>
      </w:r>
      <w:r>
        <w:t xml:space="preserve">, p 460–472.</w:t>
      </w:r>
      <w:r>
        <w:t xml:space="preserve"> </w:t>
      </w:r>
      <w:hyperlink r:id="rId69">
        <w:r>
          <w:rPr>
            <w:rStyle w:val="Hyperlink"/>
          </w:rPr>
          <w:t xml:space="preserve">https://doi.org/10.1007/s40830-024-00504-x</w:t>
        </w:r>
      </w:hyperlink>
    </w:p>
    <w:bookmarkEnd w:id="70"/>
    <w:bookmarkStart w:id="72" w:name="ref-tai2024ssrf"/>
    <w:p>
      <w:pPr>
        <w:pStyle w:val="Bibliography"/>
      </w:pPr>
      <w:r>
        <w:t xml:space="preserve">21.</w:t>
      </w:r>
      <w:r>
        <w:t xml:space="preserve"> </w:t>
      </w:r>
      <w:r>
        <w:t xml:space="preserve">	</w:t>
      </w:r>
      <w:r>
        <w:t xml:space="preserve">R.Z. Tai and Z.T. Zhao, Overview of</w:t>
      </w:r>
      <w:r>
        <w:t xml:space="preserve"> </w:t>
      </w:r>
      <w:r>
        <w:t xml:space="preserve">SSRF</w:t>
      </w:r>
      <w:r>
        <w:t xml:space="preserve"> </w:t>
      </w:r>
      <w:r>
        <w:t xml:space="preserve">Phase-</w:t>
      </w:r>
      <w:r>
        <w:t xml:space="preserve">II</w:t>
      </w:r>
      <w:r>
        <w:t xml:space="preserve"> </w:t>
      </w:r>
      <w:r>
        <w:t xml:space="preserve">Beamlines,</w:t>
      </w:r>
      <w:r>
        <w:t xml:space="preserve"> </w:t>
      </w:r>
      <w:r>
        <w:rPr>
          <w:i/>
          <w:iCs/>
        </w:rPr>
        <w:t xml:space="preserve">Nucl. Sci. Tech.</w:t>
      </w:r>
      <w:r>
        <w:t xml:space="preserve">, 2024,</w:t>
      </w:r>
      <w:r>
        <w:t xml:space="preserve"> </w:t>
      </w:r>
      <w:r>
        <w:rPr>
          <w:b/>
          <w:bCs/>
        </w:rPr>
        <w:t xml:space="preserve">35</w:t>
      </w:r>
      <w:r>
        <w:t xml:space="preserve">, p 137.</w:t>
      </w:r>
      <w:r>
        <w:t xml:space="preserve"> </w:t>
      </w:r>
      <w:hyperlink r:id="rId71">
        <w:r>
          <w:rPr>
            <w:rStyle w:val="Hyperlink"/>
          </w:rPr>
          <w:t xml:space="preserve">https://doi.org/10.1007/s41365-024-01487-1</w:t>
        </w:r>
      </w:hyperlink>
    </w:p>
    <w:bookmarkEnd w:id="72"/>
    <w:bookmarkStart w:id="74" w:name="ref-yang2024ssrf"/>
    <w:p>
      <w:pPr>
        <w:pStyle w:val="Bibliography"/>
      </w:pPr>
      <w:r>
        <w:t xml:space="preserve">22.</w:t>
      </w:r>
      <w:r>
        <w:t xml:space="preserve"> </w:t>
      </w:r>
      <w:r>
        <w:t xml:space="preserve">	</w:t>
      </w:r>
      <w:r>
        <w:t xml:space="preserve">K. Yang, Z.-H. Dong, C.-Y. Zhou, Z.-L. Zhao, D.-X. Liang, S.-C. Cao, and A.-G. Li, Ultrahard</w:t>
      </w:r>
      <w:r>
        <w:t xml:space="preserve"> </w:t>
      </w:r>
      <w:r>
        <w:t xml:space="preserve">X-ray</w:t>
      </w:r>
      <w:r>
        <w:t xml:space="preserve"> </w:t>
      </w:r>
      <w:r>
        <w:t xml:space="preserve">Multifunctional Application Beamline at the</w:t>
      </w:r>
      <w:r>
        <w:t xml:space="preserve"> </w:t>
      </w:r>
      <w:r>
        <w:t xml:space="preserve">SSRF</w:t>
      </w:r>
      <w:r>
        <w:t xml:space="preserve">,</w:t>
      </w:r>
      <w:r>
        <w:t xml:space="preserve"> </w:t>
      </w:r>
      <w:r>
        <w:rPr>
          <w:i/>
          <w:iCs/>
        </w:rPr>
        <w:t xml:space="preserve">Nucl. Sci. Tech.</w:t>
      </w:r>
      <w:r>
        <w:t xml:space="preserve">, 2024,</w:t>
      </w:r>
      <w:r>
        <w:t xml:space="preserve"> </w:t>
      </w:r>
      <w:r>
        <w:rPr>
          <w:b/>
          <w:bCs/>
        </w:rPr>
        <w:t xml:space="preserve">35</w:t>
      </w:r>
      <w:r>
        <w:t xml:space="preserve">, p 98.</w:t>
      </w:r>
      <w:r>
        <w:t xml:space="preserve"> </w:t>
      </w:r>
      <w:hyperlink r:id="rId73">
        <w:r>
          <w:rPr>
            <w:rStyle w:val="Hyperlink"/>
          </w:rPr>
          <w:t xml:space="preserve">https://doi.org/10.1007/s41365-024-01468-4</w:t>
        </w:r>
      </w:hyperlink>
    </w:p>
    <w:bookmarkEnd w:id="74"/>
    <w:bookmarkStart w:id="75" w:name="ref-hammersley1998fit2d"/>
    <w:p>
      <w:pPr>
        <w:pStyle w:val="Bibliography"/>
      </w:pPr>
      <w:r>
        <w:t xml:space="preserve">23.</w:t>
      </w:r>
      <w:r>
        <w:t xml:space="preserve"> </w:t>
      </w:r>
      <w:r>
        <w:t xml:space="preserve">	</w:t>
      </w:r>
      <w:r>
        <w:t xml:space="preserve">A.P. Hammersley,</w:t>
      </w:r>
      <w:r>
        <w:t xml:space="preserve"> </w:t>
      </w:r>
      <w:r>
        <w:t xml:space="preserve">“</w:t>
      </w:r>
      <w:r>
        <w:t xml:space="preserve">FIT2D</w:t>
      </w:r>
      <w:r>
        <w:t xml:space="preserve"> </w:t>
      </w:r>
      <w:r>
        <w:t xml:space="preserve">V9.129 Reference Manual V3.1,”</w:t>
      </w:r>
      <w:r>
        <w:t xml:space="preserve"> </w:t>
      </w:r>
      <w:r>
        <w:t xml:space="preserve">ESRF98HA01T, ESRF, Grenoble, 1998.</w:t>
      </w:r>
    </w:p>
    <w:bookmarkEnd w:id="75"/>
    <w:bookmarkStart w:id="77" w:name="ref-rietveld1969"/>
    <w:p>
      <w:pPr>
        <w:pStyle w:val="Bibliography"/>
      </w:pPr>
      <w:r>
        <w:t xml:space="preserve">24.</w:t>
      </w:r>
      <w:r>
        <w:t xml:space="preserve"> </w:t>
      </w:r>
      <w:r>
        <w:t xml:space="preserve">	</w:t>
      </w:r>
      <w:r>
        <w:t xml:space="preserve">H.M. Rietveld, A Profile Refinement Method for Nuclear and Magnetic Structures,</w:t>
      </w:r>
      <w:r>
        <w:t xml:space="preserve"> </w:t>
      </w:r>
      <w:r>
        <w:rPr>
          <w:i/>
          <w:iCs/>
        </w:rPr>
        <w:t xml:space="preserve">J. Appl. Crystallogr.</w:t>
      </w:r>
      <w:r>
        <w:t xml:space="preserve">, 1969,</w:t>
      </w:r>
      <w:r>
        <w:t xml:space="preserve"> </w:t>
      </w:r>
      <w:r>
        <w:rPr>
          <w:b/>
          <w:bCs/>
        </w:rPr>
        <w:t xml:space="preserve">2</w:t>
      </w:r>
      <w:r>
        <w:t xml:space="preserve">, p 65–71.</w:t>
      </w:r>
      <w:r>
        <w:t xml:space="preserve"> </w:t>
      </w:r>
      <w:hyperlink r:id="rId76">
        <w:r>
          <w:rPr>
            <w:rStyle w:val="Hyperlink"/>
          </w:rPr>
          <w:t xml:space="preserve">https://doi.org/10.1107/S0021889869006558</w:t>
        </w:r>
      </w:hyperlink>
    </w:p>
    <w:bookmarkEnd w:id="77"/>
    <w:bookmarkStart w:id="79" w:name="ref-lutterotti1997maud"/>
    <w:p>
      <w:pPr>
        <w:pStyle w:val="Bibliography"/>
      </w:pPr>
      <w:r>
        <w:t xml:space="preserve">25.</w:t>
      </w:r>
      <w:r>
        <w:t xml:space="preserve"> </w:t>
      </w:r>
      <w:r>
        <w:t xml:space="preserve">	</w:t>
      </w:r>
      <w:r>
        <w:t xml:space="preserve">L. Lutterotti, S. Matthies, H.R. Wenk, A.S. Schultz, and J.W. Richardson, Combined Texture and Structure Analysis of Deformed Limestone from Time-of-Flight Neutron Diffraction Spectra,</w:t>
      </w:r>
      <w:r>
        <w:t xml:space="preserve"> </w:t>
      </w:r>
      <w:r>
        <w:rPr>
          <w:i/>
          <w:iCs/>
        </w:rPr>
        <w:t xml:space="preserve">J. Appl. Phys.</w:t>
      </w:r>
      <w:r>
        <w:t xml:space="preserve">, 1997,</w:t>
      </w:r>
      <w:r>
        <w:t xml:space="preserve"> </w:t>
      </w:r>
      <w:r>
        <w:rPr>
          <w:b/>
          <w:bCs/>
        </w:rPr>
        <w:t xml:space="preserve">81</w:t>
      </w:r>
      <w:r>
        <w:t xml:space="preserve">, p 594–600.</w:t>
      </w:r>
      <w:r>
        <w:t xml:space="preserve"> </w:t>
      </w:r>
      <w:hyperlink r:id="rId78">
        <w:r>
          <w:rPr>
            <w:rStyle w:val="Hyperlink"/>
          </w:rPr>
          <w:t xml:space="preserve">https://doi.org/10.1063/1.364220</w:t>
        </w:r>
      </w:hyperlink>
    </w:p>
    <w:bookmarkEnd w:id="79"/>
    <w:bookmarkStart w:id="81" w:name="ref-lukas2007calphad"/>
    <w:p>
      <w:pPr>
        <w:pStyle w:val="Bibliography"/>
      </w:pPr>
      <w:r>
        <w:t xml:space="preserve">26.</w:t>
      </w:r>
      <w:r>
        <w:t xml:space="preserve"> </w:t>
      </w:r>
      <w:r>
        <w:t xml:space="preserve">	</w:t>
      </w:r>
      <w:r>
        <w:t xml:space="preserve">H.L. Lukas, S.G. Fries, and B. Sundman, Computational Thermodynamics: The Calphad Method, Cambridge University Press, 2007.</w:t>
      </w:r>
      <w:r>
        <w:t xml:space="preserve"> </w:t>
      </w:r>
      <w:hyperlink r:id="rId80">
        <w:r>
          <w:rPr>
            <w:rStyle w:val="Hyperlink"/>
          </w:rPr>
          <w:t xml:space="preserve">https://doi.org/10.1017/CBO9780511804137</w:t>
        </w:r>
      </w:hyperlink>
    </w:p>
    <w:bookmarkEnd w:id="81"/>
    <w:bookmarkStart w:id="83" w:name="ref-otis2017pycalphad"/>
    <w:p>
      <w:pPr>
        <w:pStyle w:val="Bibliography"/>
      </w:pPr>
      <w:r>
        <w:t xml:space="preserve">27.</w:t>
      </w:r>
      <w:r>
        <w:t xml:space="preserve"> </w:t>
      </w:r>
      <w:r>
        <w:t xml:space="preserve">	</w:t>
      </w:r>
      <w:r>
        <w:t xml:space="preserve">R. Otis and Z.-K. Liu,</w:t>
      </w:r>
      <w:r>
        <w:t xml:space="preserve"> </w:t>
      </w:r>
      <w:r>
        <w:t xml:space="preserve">pycalphad</w:t>
      </w:r>
      <w:r>
        <w:t xml:space="preserve">:</w:t>
      </w:r>
      <w:r>
        <w:t xml:space="preserve"> </w:t>
      </w:r>
      <w:r>
        <w:t xml:space="preserve">CALPHAD</w:t>
      </w:r>
      <w:r>
        <w:t xml:space="preserve">-Based Computational Thermodynamics in</w:t>
      </w:r>
      <w:r>
        <w:t xml:space="preserve"> </w:t>
      </w:r>
      <w:r>
        <w:t xml:space="preserve">Python</w:t>
      </w:r>
      <w:r>
        <w:t xml:space="preserve">,</w:t>
      </w:r>
      <w:r>
        <w:t xml:space="preserve"> </w:t>
      </w:r>
      <w:r>
        <w:rPr>
          <w:i/>
          <w:iCs/>
        </w:rPr>
        <w:t xml:space="preserve">J. Open Res. Softw.</w:t>
      </w:r>
      <w:r>
        <w:t xml:space="preserve">, 2017,</w:t>
      </w:r>
      <w:r>
        <w:t xml:space="preserve"> </w:t>
      </w:r>
      <w:r>
        <w:rPr>
          <w:b/>
          <w:bCs/>
        </w:rPr>
        <w:t xml:space="preserve">5</w:t>
      </w:r>
      <w:r>
        <w:t xml:space="preserve">(1), p 1.</w:t>
      </w:r>
      <w:r>
        <w:t xml:space="preserve"> </w:t>
      </w:r>
      <w:hyperlink r:id="rId82">
        <w:r>
          <w:rPr>
            <w:rStyle w:val="Hyperlink"/>
          </w:rPr>
          <w:t xml:space="preserve">https://doi.org/10.5334/jors.140</w:t>
        </w:r>
      </w:hyperlink>
    </w:p>
    <w:bookmarkEnd w:id="83"/>
    <w:bookmarkStart w:id="85" w:name="ref-hallstedt2017mpea"/>
    <w:p>
      <w:pPr>
        <w:pStyle w:val="Bibliography"/>
      </w:pPr>
      <w:r>
        <w:t xml:space="preserve">28.</w:t>
      </w:r>
      <w:r>
        <w:t xml:space="preserve"> </w:t>
      </w:r>
      <w:r>
        <w:t xml:space="preserve">	</w:t>
      </w:r>
      <w:r>
        <w:t xml:space="preserve">B. Hallstedt, Database for High Entropy Alloys (</w:t>
      </w:r>
      <w:r>
        <w:t xml:space="preserve">mpea</w:t>
      </w:r>
      <w:r>
        <w:t xml:space="preserve">), Version 2b, RWTH Aachen University, 2017.</w:t>
      </w:r>
      <w:r>
        <w:t xml:space="preserve"> </w:t>
      </w:r>
      <w:hyperlink r:id="rId84">
        <w:r>
          <w:rPr>
            <w:rStyle w:val="Hyperlink"/>
          </w:rPr>
          <w:t xml:space="preserve">https://github.com/pycalphad/binder/tree/develop/multicomponent-databases</w:t>
        </w:r>
      </w:hyperlink>
      <w:r>
        <w:t xml:space="preserve">. Accessed 28 September 2026</w:t>
      </w:r>
    </w:p>
    <w:bookmarkEnd w:id="85"/>
    <w:bookmarkStart w:id="87" w:name="ref-hallstedt2023mpea"/>
    <w:p>
      <w:pPr>
        <w:pStyle w:val="Bibliography"/>
      </w:pPr>
      <w:r>
        <w:t xml:space="preserve">29.</w:t>
      </w:r>
      <w:r>
        <w:t xml:space="preserve"> </w:t>
      </w:r>
      <w:r>
        <w:t xml:space="preserve">	</w:t>
      </w:r>
      <w:r>
        <w:t xml:space="preserve">B. Hallstedt, M. Noori, F. Kies, F. Oppermann, and C. Haase, Thermodynamic Database for Multi-Principal Element Alloys Within the System</w:t>
      </w:r>
      <w:r>
        <w:t xml:space="preserve"> </w:t>
      </w:r>
      <w:r>
        <w:t xml:space="preserve">Al–Co–Cr–Fe–Mn–Ni–C</w:t>
      </w:r>
      <w:r>
        <w:t xml:space="preserve">,</w:t>
      </w:r>
      <w:r>
        <w:t xml:space="preserve"> </w:t>
      </w:r>
      <w:r>
        <w:rPr>
          <w:i/>
          <w:iCs/>
        </w:rPr>
        <w:t xml:space="preserve">Calphad</w:t>
      </w:r>
      <w:r>
        <w:t xml:space="preserve">, 2023,</w:t>
      </w:r>
      <w:r>
        <w:t xml:space="preserve"> </w:t>
      </w:r>
      <w:r>
        <w:rPr>
          <w:b/>
          <w:bCs/>
        </w:rPr>
        <w:t xml:space="preserve">83</w:t>
      </w:r>
      <w:r>
        <w:t xml:space="preserve">, p 102644.</w:t>
      </w:r>
      <w:r>
        <w:t xml:space="preserve"> </w:t>
      </w:r>
      <w:hyperlink r:id="rId86">
        <w:r>
          <w:rPr>
            <w:rStyle w:val="Hyperlink"/>
          </w:rPr>
          <w:t xml:space="preserve">https://doi.org/10.1016/j.calphad.2023.102644</w:t>
        </w:r>
      </w:hyperlink>
    </w:p>
    <w:bookmarkEnd w:id="87"/>
    <w:bookmarkStart w:id="89" w:name="ref-prechimn04"/>
    <w:p>
      <w:pPr>
        <w:pStyle w:val="Bibliography"/>
      </w:pPr>
      <w:r>
        <w:t xml:space="preserve">30.</w:t>
      </w:r>
      <w:r>
        <w:t xml:space="preserve"> </w:t>
      </w:r>
      <w:r>
        <w:t xml:space="preserve">	</w:t>
      </w:r>
      <w:r>
        <w:t xml:space="preserve">B. Hallstedt, A.V. Khvan, B.B. Lindahl, M. Selleby, and S. Liu,</w:t>
      </w:r>
      <w:r>
        <w:t xml:space="preserve"> </w:t>
      </w:r>
      <w:r>
        <w:t xml:space="preserve">PrecHiMn-4</w:t>
      </w:r>
      <w:r>
        <w:t xml:space="preserve">—</w:t>
      </w:r>
      <w:r>
        <w:t xml:space="preserve">A</w:t>
      </w:r>
      <w:r>
        <w:t xml:space="preserve"> </w:t>
      </w:r>
      <w:r>
        <w:t xml:space="preserve">Thermodynamic Database for High-</w:t>
      </w:r>
      <w:r>
        <w:t xml:space="preserve">Mn</w:t>
      </w:r>
      <w:r>
        <w:t xml:space="preserve"> </w:t>
      </w:r>
      <w:r>
        <w:t xml:space="preserve">Steels,</w:t>
      </w:r>
      <w:r>
        <w:t xml:space="preserve"> </w:t>
      </w:r>
      <w:r>
        <w:rPr>
          <w:i/>
          <w:iCs/>
        </w:rPr>
        <w:t xml:space="preserve">Calphad</w:t>
      </w:r>
      <w:r>
        <w:t xml:space="preserve">, 2017,</w:t>
      </w:r>
      <w:r>
        <w:t xml:space="preserve"> </w:t>
      </w:r>
      <w:r>
        <w:rPr>
          <w:b/>
          <w:bCs/>
        </w:rPr>
        <w:t xml:space="preserve">56</w:t>
      </w:r>
      <w:r>
        <w:t xml:space="preserve">, p 49–57.</w:t>
      </w:r>
      <w:r>
        <w:t xml:space="preserve"> </w:t>
      </w:r>
      <w:hyperlink r:id="rId88">
        <w:r>
          <w:rPr>
            <w:rStyle w:val="Hyperlink"/>
          </w:rPr>
          <w:t xml:space="preserve">https://doi.org/10.1016/j.calphad.2016.11.006</w:t>
        </w:r>
      </w:hyperlink>
    </w:p>
    <w:bookmarkEnd w:id="89"/>
    <w:bookmarkStart w:id="91" w:name="ref-mcfe"/>
    <w:p>
      <w:pPr>
        <w:pStyle w:val="Bibliography"/>
      </w:pPr>
      <w:r>
        <w:t xml:space="preserve">31.</w:t>
      </w:r>
      <w:r>
        <w:t xml:space="preserve"> </w:t>
      </w:r>
      <w:r>
        <w:t xml:space="preserve">	</w:t>
      </w:r>
      <w:r>
        <w:t xml:space="preserve">E. Povoden-Karadeniz,</w:t>
      </w:r>
      <w:r>
        <w:t xml:space="preserve"> </w:t>
      </w:r>
      <w:r>
        <w:t xml:space="preserve">MatCalc</w:t>
      </w:r>
      <w:r>
        <w:t xml:space="preserve"> </w:t>
      </w:r>
      <w:r>
        <w:t xml:space="preserve">Thermodynamic Steel Database</w:t>
      </w:r>
      <w:r>
        <w:t xml:space="preserve"> </w:t>
      </w:r>
      <w:r>
        <w:t xml:space="preserve">mc_fe</w:t>
      </w:r>
      <w:r>
        <w:t xml:space="preserve">, Version 2.059, TU Wien, 2016.</w:t>
      </w:r>
      <w:r>
        <w:t xml:space="preserve"> </w:t>
      </w:r>
      <w:hyperlink r:id="rId90">
        <w:r>
          <w:rPr>
            <w:rStyle w:val="Hyperlink"/>
          </w:rPr>
          <w:t xml:space="preserve">https://www.matcalc.at/index.php/databases/open-databases</w:t>
        </w:r>
      </w:hyperlink>
      <w:r>
        <w:t xml:space="preserve">. Accessed 28 September 2026</w:t>
      </w:r>
    </w:p>
    <w:bookmarkEnd w:id="91"/>
    <w:bookmarkStart w:id="93" w:name="ref-tanaka2010science"/>
    <w:p>
      <w:pPr>
        <w:pStyle w:val="Bibliography"/>
      </w:pPr>
      <w:r>
        <w:t xml:space="preserve">32.</w:t>
      </w:r>
      <w:r>
        <w:t xml:space="preserve"> </w:t>
      </w:r>
      <w:r>
        <w:t xml:space="preserve">	</w:t>
      </w:r>
      <w:r>
        <w:t xml:space="preserve">Y. Tanaka, Y. Himuro, R. Kainuma, Y. Sutou, T. Omori, and K. Ishida, Ferrous Polycrystalline Shape-Memory Alloy Showing Huge Superelasticity,</w:t>
      </w:r>
      <w:r>
        <w:t xml:space="preserve"> </w:t>
      </w:r>
      <w:r>
        <w:rPr>
          <w:i/>
          <w:iCs/>
        </w:rPr>
        <w:t xml:space="preserve">Science</w:t>
      </w:r>
      <w:r>
        <w:t xml:space="preserve">, 2010,</w:t>
      </w:r>
      <w:r>
        <w:t xml:space="preserve"> </w:t>
      </w:r>
      <w:r>
        <w:rPr>
          <w:b/>
          <w:bCs/>
        </w:rPr>
        <w:t xml:space="preserve">327</w:t>
      </w:r>
      <w:r>
        <w:t xml:space="preserve">, p 1488–1490.</w:t>
      </w:r>
      <w:r>
        <w:t xml:space="preserve"> </w:t>
      </w:r>
      <w:hyperlink r:id="rId92">
        <w:r>
          <w:rPr>
            <w:rStyle w:val="Hyperlink"/>
          </w:rPr>
          <w:t xml:space="preserve">https://doi.org/10.1126/science.1183169</w:t>
        </w:r>
      </w:hyperlink>
    </w:p>
    <w:bookmarkEnd w:id="93"/>
    <w:bookmarkStart w:id="95" w:name="ref-vollmer2019natcomm"/>
    <w:p>
      <w:pPr>
        <w:pStyle w:val="Bibliography"/>
      </w:pPr>
      <w:r>
        <w:t xml:space="preserve">33.</w:t>
      </w:r>
      <w:r>
        <w:t xml:space="preserve"> </w:t>
      </w:r>
      <w:r>
        <w:t xml:space="preserve">	</w:t>
      </w:r>
      <w:r>
        <w:t xml:space="preserve">M. Vollmer, T. Arold, M.J. Kriegel, V. Klemm, S. Degener, J. Freudenberger, and T. Niendorf, Promoting Abnormal Grain Growth in</w:t>
      </w:r>
      <w:r>
        <w:t xml:space="preserve"> </w:t>
      </w:r>
      <w:r>
        <w:t xml:space="preserve">Fe</w:t>
      </w:r>
      <w:r>
        <w:t xml:space="preserve">-Based Shape Memory Alloys Through Compositional Adjustments,</w:t>
      </w:r>
      <w:r>
        <w:t xml:space="preserve"> </w:t>
      </w:r>
      <w:r>
        <w:rPr>
          <w:i/>
          <w:iCs/>
        </w:rPr>
        <w:t xml:space="preserve">Nat. Commun.</w:t>
      </w:r>
      <w:r>
        <w:t xml:space="preserve">, 2019,</w:t>
      </w:r>
      <w:r>
        <w:t xml:space="preserve"> </w:t>
      </w:r>
      <w:r>
        <w:rPr>
          <w:b/>
          <w:bCs/>
        </w:rPr>
        <w:t xml:space="preserve">10</w:t>
      </w:r>
      <w:r>
        <w:t xml:space="preserve">, p 2337.</w:t>
      </w:r>
      <w:r>
        <w:t xml:space="preserve"> </w:t>
      </w:r>
      <w:hyperlink r:id="rId94">
        <w:r>
          <w:rPr>
            <w:rStyle w:val="Hyperlink"/>
          </w:rPr>
          <w:t xml:space="preserve">https://doi.org/10.1038/s41467-019-10308-8</w:t>
        </w:r>
      </w:hyperlink>
    </w:p>
    <w:bookmarkEnd w:id="95"/>
    <w:bookmarkStart w:id="96" w:name="ref-engler2010texture"/>
    <w:p>
      <w:pPr>
        <w:pStyle w:val="Bibliography"/>
      </w:pPr>
      <w:r>
        <w:t xml:space="preserve">34.</w:t>
      </w:r>
      <w:r>
        <w:t xml:space="preserve"> </w:t>
      </w:r>
      <w:r>
        <w:t xml:space="preserve">	</w:t>
      </w:r>
      <w:r>
        <w:t xml:space="preserve">O. Engler and V. Randle, Introduction to Texture Analysis: Macrotexture, Microtexture, and Orientation Mapping, 2nd ed., CRC Press, 2010.</w:t>
      </w:r>
    </w:p>
    <w:bookmarkEnd w:id="96"/>
    <w:bookmarkStart w:id="98" w:name="ref-omori2012apl"/>
    <w:p>
      <w:pPr>
        <w:pStyle w:val="Bibliography"/>
      </w:pPr>
      <w:r>
        <w:t xml:space="preserve">35.</w:t>
      </w:r>
      <w:r>
        <w:t xml:space="preserve"> </w:t>
      </w:r>
      <w:r>
        <w:t xml:space="preserve">	</w:t>
      </w:r>
      <w:r>
        <w:t xml:space="preserve">T. Omori, M. Nagasako, M. Okano, K. Endo, and R. Kainuma, Microstructure and Martensitic Transformation in the</w:t>
      </w:r>
      <w:r>
        <w:t xml:space="preserve"> </w:t>
      </w:r>
      <w:r>
        <w:t xml:space="preserve">Fe-Mn-Al-Ni</w:t>
      </w:r>
      <w:r>
        <w:t xml:space="preserve"> </w:t>
      </w:r>
      <w:r>
        <w:t xml:space="preserve">Shape Memory Alloy with</w:t>
      </w:r>
      <w:r>
        <w:t xml:space="preserve"> </w:t>
      </w:r>
      <w:r>
        <w:t xml:space="preserve">B2</w:t>
      </w:r>
      <w:r>
        <w:t xml:space="preserve">-Type Coherent Fine Particles,</w:t>
      </w:r>
      <w:r>
        <w:t xml:space="preserve"> </w:t>
      </w:r>
      <w:r>
        <w:rPr>
          <w:i/>
          <w:iCs/>
        </w:rPr>
        <w:t xml:space="preserve">Appl. Phys. Lett.</w:t>
      </w:r>
      <w:r>
        <w:t xml:space="preserve">, 2012,</w:t>
      </w:r>
      <w:r>
        <w:t xml:space="preserve"> </w:t>
      </w:r>
      <w:r>
        <w:rPr>
          <w:b/>
          <w:bCs/>
        </w:rPr>
        <w:t xml:space="preserve">101</w:t>
      </w:r>
      <w:r>
        <w:t xml:space="preserve">(23), p 231907.</w:t>
      </w:r>
      <w:r>
        <w:t xml:space="preserve"> </w:t>
      </w:r>
      <w:hyperlink r:id="rId97">
        <w:r>
          <w:rPr>
            <w:rStyle w:val="Hyperlink"/>
          </w:rPr>
          <w:t xml:space="preserve">https://doi.org/10.1063/1.4769375</w:t>
        </w:r>
      </w:hyperlink>
    </w:p>
    <w:bookmarkEnd w:id="98"/>
    <w:bookmarkStart w:id="99" w:name="ref-bhadeshia2010steels"/>
    <w:p>
      <w:pPr>
        <w:pStyle w:val="Bibliography"/>
      </w:pPr>
      <w:r>
        <w:t xml:space="preserve">36.</w:t>
      </w:r>
      <w:r>
        <w:t xml:space="preserve"> </w:t>
      </w:r>
      <w:r>
        <w:t xml:space="preserve">	</w:t>
      </w:r>
      <w:r>
        <w:t xml:space="preserve">H.K.D.H. Bhadeshia and R.W.K. Honeycombe, Steels: Microstructure and Properties, 4th ed., Elsevier Butterworth-Heinemann, 2017.</w:t>
      </w:r>
    </w:p>
    <w:bookmarkEnd w:id="99"/>
    <w:bookmarkStart w:id="101" w:name="ref-laroca2017jalcom"/>
    <w:p>
      <w:pPr>
        <w:pStyle w:val="Bibliography"/>
      </w:pPr>
      <w:r>
        <w:t xml:space="preserve">37.</w:t>
      </w:r>
      <w:r>
        <w:t xml:space="preserve"> </w:t>
      </w:r>
      <w:r>
        <w:t xml:space="preserve">	</w:t>
      </w:r>
      <w:r>
        <w:t xml:space="preserve">P. La Roca, A. Baruj, C.E. Sobrero, J.A. Malarría, and M. Sade, Nanoprecipitation Effects on Phase Stability of</w:t>
      </w:r>
      <w:r>
        <w:t xml:space="preserve"> </w:t>
      </w:r>
      <w:r>
        <w:t xml:space="preserve">Fe-Mn-Al-Ni</w:t>
      </w:r>
      <w:r>
        <w:t xml:space="preserve"> </w:t>
      </w:r>
      <w:r>
        <w:t xml:space="preserve">Alloys,</w:t>
      </w:r>
      <w:r>
        <w:t xml:space="preserve"> </w:t>
      </w:r>
      <w:r>
        <w:rPr>
          <w:i/>
          <w:iCs/>
        </w:rPr>
        <w:t xml:space="preserve">J. Alloys Compd.</w:t>
      </w:r>
      <w:r>
        <w:t xml:space="preserve">, 2017,</w:t>
      </w:r>
      <w:r>
        <w:t xml:space="preserve"> </w:t>
      </w:r>
      <w:r>
        <w:rPr>
          <w:b/>
          <w:bCs/>
        </w:rPr>
        <w:t xml:space="preserve">708</w:t>
      </w:r>
      <w:r>
        <w:t xml:space="preserve">, p 422–427.</w:t>
      </w:r>
      <w:r>
        <w:t xml:space="preserve"> </w:t>
      </w:r>
      <w:hyperlink r:id="rId100">
        <w:r>
          <w:rPr>
            <w:rStyle w:val="Hyperlink"/>
          </w:rPr>
          <w:t xml:space="preserve">https://doi.org/10.1016/j.jallcom.2017.02.280</w:t>
        </w:r>
      </w:hyperlink>
    </w:p>
    <w:bookmarkEnd w:id="101"/>
    <w:bookmarkStart w:id="103" w:name="ref-heo2012mmta"/>
    <w:p>
      <w:pPr>
        <w:pStyle w:val="Bibliography"/>
      </w:pPr>
      <w:r>
        <w:t xml:space="preserve">38.</w:t>
      </w:r>
      <w:r>
        <w:t xml:space="preserve"> </w:t>
      </w:r>
      <w:r>
        <w:t xml:space="preserve">	</w:t>
      </w:r>
      <w:r>
        <w:t xml:space="preserve">Y.-U. Heo, Y.-Y. Song, S.-J. Park, H.K.D.H. Bhadeshia, and D.-W. Suh, Influence of Silicon in Low Density</w:t>
      </w:r>
      <w:r>
        <w:t xml:space="preserve"> </w:t>
      </w:r>
      <w:r>
        <w:t xml:space="preserve">Fe-C-Mn-Al</w:t>
      </w:r>
      <w:r>
        <w:t xml:space="preserve"> </w:t>
      </w:r>
      <w:r>
        <w:t xml:space="preserve">Steel,</w:t>
      </w:r>
      <w:r>
        <w:t xml:space="preserve"> </w:t>
      </w:r>
      <w:r>
        <w:rPr>
          <w:i/>
          <w:iCs/>
        </w:rPr>
        <w:t xml:space="preserve">Metall. Mater. Trans. A</w:t>
      </w:r>
      <w:r>
        <w:t xml:space="preserve">, 2012,</w:t>
      </w:r>
      <w:r>
        <w:t xml:space="preserve"> </w:t>
      </w:r>
      <w:r>
        <w:rPr>
          <w:b/>
          <w:bCs/>
        </w:rPr>
        <w:t xml:space="preserve">43</w:t>
      </w:r>
      <w:r>
        <w:t xml:space="preserve">(6), p 1731–1735.</w:t>
      </w:r>
      <w:r>
        <w:t xml:space="preserve"> </w:t>
      </w:r>
      <w:hyperlink r:id="rId102">
        <w:r>
          <w:rPr>
            <w:rStyle w:val="Hyperlink"/>
          </w:rPr>
          <w:t xml:space="preserve">https://doi.org/10.1007/s11661-012-1149-x</w:t>
        </w:r>
      </w:hyperlink>
    </w:p>
    <w:bookmarkEnd w:id="103"/>
    <w:bookmarkEnd w:id="104"/>
    <w:bookmarkEnd w:id="105"/>
    <w:bookmarkStart w:id="106" w:name="figure-captions"/>
    <w:p>
      <w:pPr>
        <w:pStyle w:val="Heading1"/>
      </w:pPr>
      <w:r>
        <w:t xml:space="preserve">Figure Captions</w:t>
      </w:r>
    </w:p>
    <w:p>
      <w:pPr>
        <w:pStyle w:val="FirstParagraph"/>
      </w:pPr>
      <w:r>
        <w:rPr>
          <w:b/>
          <w:bCs/>
        </w:rPr>
        <w:t xml:space="preserve">Fig. 1.</w:t>
      </w:r>
      <w:r>
        <w:t xml:space="preserve"> </w:t>
      </w:r>
      <w:r>
        <w:t xml:space="preserve">Microstructure of the LLM-alloy after heat treatment: (a) 1200 °C, 1 min, optical; (b) 1200 °C, 1 min, SEM; (c) 1200 °C, 40 min, optical; (d) 0.36 mm wire after the quartz-tube cyclic treatment of Sec. 2.2, optical.</w:t>
      </w:r>
    </w:p>
    <w:p>
      <w:pPr>
        <w:pStyle w:val="BodyText"/>
      </w:pPr>
      <w:r>
        <w:rPr>
          <w:b/>
          <w:bCs/>
        </w:rPr>
        <w:t xml:space="preserve">Fig. 2.</w:t>
      </w:r>
      <w:r>
        <w:t xml:space="preserve"> </w:t>
      </w:r>
      <w:r>
        <w:t xml:space="preserve">Cyclic stress–strain curves of the LLM-alloy after annealing for 1 minute at (a) 600, (b) 700, (c) 800, (d) 900, (e) 1000, (f) 1100 and (g) 1200 °C, and (h) at 1200 °C followed by the 200 °C/3 h age. Nominal wire diameter 0.36 mm; the plotted spools measured 0.348–0.359 mm. Stress is computed from the measured per-spool diameter and strain from crosshead extension over the 127 mm gauge (Sec. 2.4). Each panel shows a single representative specimen; the values in Table 2 are means of three specimens per condition. Curves are shown to 10% strain (2.5% for the two brittle conditions); elongations to failure are listed in Table 2.</w:t>
      </w:r>
    </w:p>
    <w:p>
      <w:pPr>
        <w:pStyle w:val="BodyText"/>
      </w:pPr>
      <w:r>
        <w:rPr>
          <w:b/>
          <w:bCs/>
        </w:rPr>
        <w:t xml:space="preserve">Fig. 3.</w:t>
      </w:r>
      <w:r>
        <w:t xml:space="preserve"> </w:t>
      </w:r>
      <w:r>
        <w:t xml:space="preserve">Loading–unloading–heating tests of (a) the LLM-alloy and (b) the benchmark alloy, both heat treated at 1200 °C for 1 minute. Wire diameters 0.35 mm (a) and 0.54 mm (b); strain is crosshead extension over the 127 mm gauge (Sec. 2.4). Black arrows show the deformation path; the red arrow highlights the strain recovery caused by heating.</w:t>
      </w:r>
    </w:p>
    <w:p>
      <w:pPr>
        <w:pStyle w:val="BodyText"/>
      </w:pPr>
      <w:r>
        <w:rPr>
          <w:b/>
          <w:bCs/>
        </w:rPr>
        <w:t xml:space="preserve">Fig. 4.</w:t>
      </w:r>
      <w:r>
        <w:t xml:space="preserve"> </w:t>
      </w:r>
      <w:r>
        <w:t xml:space="preserve">2D synchrotron X-ray diffraction images of (a) LLM-alloy annealed at 1200 °C for 1 min, (b) annealed LLM-alloy after 10% tensile strain, (c) benchmark alloy annealed at 1200 °C for 1 min, and (d) annealed benchmark alloy after 8% tensile strain.</w:t>
      </w:r>
    </w:p>
    <w:p>
      <w:pPr>
        <w:pStyle w:val="BodyText"/>
      </w:pPr>
      <w:r>
        <w:rPr>
          <w:b/>
          <w:bCs/>
        </w:rPr>
        <w:t xml:space="preserve">Fig. 5.</w:t>
      </w:r>
      <w:r>
        <w:t xml:space="preserve"> </w:t>
      </w:r>
      <w:r>
        <w:t xml:space="preserve">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not refined, at a = 3.6366 Å (γ) and 2.8865 Å (α) in both cases, and for D0₃ at 5.7734 Å in (a) and 5.7801 Å in (b), the two refinements having been set up with different D0₃ cells.</w:t>
      </w:r>
    </w:p>
    <w:p>
      <w:pPr>
        <w:pStyle w:val="BodyText"/>
      </w:pPr>
      <w:r>
        <w:rPr>
          <w:b/>
          <w:bCs/>
        </w:rPr>
        <w:t xml:space="preserve">Fig. 6.</w:t>
      </w:r>
      <w:r>
        <w:t xml:space="preserve"> </w:t>
      </w:r>
      <w:r>
        <w:t xml:space="preserve">Azimuthally integrated X-ray diffraction spectra of (a) the LLM-alloy and (b) the benchmark alloy before and after deformation. Samples were heat treated at 1200 °C for 1 minute before deformation to 10% (a) and 8% (b) strain.</w:t>
      </w:r>
    </w:p>
    <w:p>
      <w:pPr>
        <w:pStyle w:val="BodyText"/>
      </w:pPr>
      <w:r>
        <w:rPr>
          <w:b/>
          <w:bCs/>
        </w:rPr>
        <w:t xml:space="preserve">Fig. 7.</w:t>
      </w:r>
      <w:r>
        <w:t xml:space="preserve"> </w:t>
      </w:r>
      <w:r>
        <w:t xml:space="preserve">Inverse pole figures of the γ and α phases of the LLM-alloy along the wire axis, extracted from the E-WIMV orientation-distribution refinement of Sec. 2.5. The sample was heat treated at 1200 °C for 1 minute. Intensities are in multiples of a random distribution.</w:t>
      </w:r>
    </w:p>
    <w:p>
      <w:pPr>
        <w:pStyle w:val="BodyText"/>
      </w:pPr>
      <w:r>
        <w:rPr>
          <w:b/>
          <w:bCs/>
        </w:rPr>
        <w:t xml:space="preserve">Fig. 8.</w:t>
      </w:r>
      <w:r>
        <w:t xml:space="preserve"> </w:t>
      </w:r>
      <w:r>
        <w:t xml:space="preserve">Synchrotron X-ray diffraction image of the ≈1 mm LLM-alloy rod after the three-cycle 1200 ↔ 900 °C abnormal-grain-growth schedule of Sec. 2.2. The vertical direction from the beam center corresponds to the rod axis. The pattern contains the same γ, α and D0₃ reflections as Fig. 4a, with the ring intensity resolved into discrete spots.</w:t>
      </w:r>
    </w:p>
    <w:p>
      <w:pPr>
        <w:pStyle w:val="BodyText"/>
      </w:pPr>
      <w:r>
        <w:rPr>
          <w:b/>
          <w:bCs/>
        </w:rPr>
        <w:t xml:space="preserve">Fig. 9.</w:t>
      </w:r>
      <w:r>
        <w:t xml:space="preserve"> </w:t>
      </w:r>
      <w:r>
        <w:t xml:space="preserve">Calculated equilibrium step diagrams (mpea-02b database) for (a) the benchmark alloy, (b) the LLM-hypothesized alloy and (c) the same LLM-alloy chemistry with carbon deleted and every other element held fixed — the virtual control of Sec. 2.6. Panels (a) and (b)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curve because B2 is an ordered partition of that phase rather than a separate one. The gray curve is the liquid fraction. The dashed line marks the 1200 °C solution-treatment temperature: it lies inside the single-phase α field in (a) and (c), whereas in (b) no such field exists — the alloy is still α + γ at 1290 °C and passes to α + liquid at ≈1295 °C. The carbon-free control is also reported numerically in Tables 3 and 4.</w:t>
      </w:r>
    </w:p>
    <w:p>
      <w:pPr>
        <w:pStyle w:val="BodyText"/>
      </w:pPr>
      <w:r>
        <w:rPr>
          <w:b/>
          <w:bCs/>
        </w:rPr>
        <w:t xml:space="preserve">Fig. 10.</w:t>
      </w:r>
      <w:r>
        <w:t xml:space="preserve"> </w:t>
      </w:r>
      <w:r>
        <w:t xml:space="preserve">Cyclic tensile records of the LLM-alloy in the prolonged-anneal and cyclically heat-treated conditions, plotted from the raw load–extension exports, with stress from the measured diameter and strain from crosshead extension over the gauge length of that test, which differs between panels and is stated in each: (a) 0.36 mm wire, 1200 °C/40 min followed by the 200 °C/3 h age; (b) 0.36 mm wire, 1200 °C/80 min; (c) two ≈1.3 mm rod specimens after the two-cycle 1200 ↔ 900 °C schedule of Sec. 2.2; (d) ≈1.06 mm rod after the three-cycle schedule and the 200 °C/3 h age, 127 mm gauge; (e) a second specimen of the same condition tested on a 6.0 mm gauge; (f) 0.36 mm wire after the quartz-tube 1200 °C cycle, 25.4 mm gauge, shown to fracture at ≈26%. Loading followed the incremental protocol of Sec. 2.4. Strains on the 6.0 and 25.4 mm gauges are not comparable with those on the 127 mm gauge (Sec. 2.4).</w:t>
      </w:r>
    </w:p>
    <w:bookmarkEnd w:id="106"/>
    <w:bookmarkStart w:id="107" w:name="tables"/>
    <w:p>
      <w:pPr>
        <w:pStyle w:val="Heading1"/>
      </w:pPr>
      <w:r>
        <w:t xml:space="preserve">Tables</w:t>
      </w:r>
    </w:p>
    <w:p>
      <w:pPr>
        <w:pStyle w:val="FirstParagraph"/>
      </w:pPr>
      <w:r>
        <w:rPr>
          <w:b/>
          <w:bCs/>
        </w:rPr>
        <w:t xml:space="preserve">Table 1.</w:t>
      </w:r>
      <w:r>
        <w:t xml:space="preserve"> </w:t>
      </w:r>
      <w:r>
        <w:t xml:space="preserve">Chemistries (in wt%) of heats RD0697-6 (LLM-alloy, analyzed on the finished wire) and RD0697-7 (benchmark alloy, analyzed as cast), measured by inductively coupled plasma atomic emission spectroscopy (ICP-AES); carbon by ASTM E1019. For the benchmark, Fe is by difference and further residual elements, each below 0.01 wt%, are not listed; the ICP-AES analysis of the LLM-alloy covered only Al, Fe, Mn, Ni and Si, so a dash in its actual column means not determined.</w:t>
      </w:r>
    </w:p>
    <w:tbl>
      <w:tblPr>
        <w:tblStyle w:val="Table"/>
        <w:tblW w:type="pct" w:w="5000"/>
        <w:tblLayout w:type="fixed"/>
        <w:tblLook w:firstRow="1" w:lastRow="0" w:firstColumn="0" w:lastColumn="0" w:noHBand="0" w:noVBand="0" w:val="0020"/>
      </w:tblPr>
      <w:tblGrid>
        <w:gridCol w:w="705"/>
        <w:gridCol w:w="1646"/>
        <w:gridCol w:w="1646"/>
        <w:gridCol w:w="1960"/>
        <w:gridCol w:w="1960"/>
      </w:tblGrid>
      <w:tr>
        <w:trPr>
          <w:tblHeader w:val="on"/>
        </w:trPr>
        <w:tc>
          <w:tcPr/>
          <w:p>
            <w:pPr>
              <w:pStyle w:val="Compact"/>
            </w:pPr>
            <w:r>
              <w:t xml:space="preserve">Element</w:t>
            </w:r>
          </w:p>
        </w:tc>
        <w:tc>
          <w:tcPr/>
          <w:p>
            <w:pPr>
              <w:pStyle w:val="Compact"/>
            </w:pPr>
            <w:r>
              <w:t xml:space="preserve">LLM-alloy (nominal)</w:t>
            </w:r>
          </w:p>
        </w:tc>
        <w:tc>
          <w:tcPr/>
          <w:p>
            <w:pPr>
              <w:pStyle w:val="Compact"/>
            </w:pPr>
            <w:r>
              <w:t xml:space="preserve">LLM-alloy (actual)</w:t>
            </w:r>
          </w:p>
        </w:tc>
        <w:tc>
          <w:tcPr/>
          <w:p>
            <w:pPr>
              <w:pStyle w:val="Compact"/>
            </w:pPr>
            <w:r>
              <w:t xml:space="preserve">benchmark alloy (nominal)</w:t>
            </w:r>
          </w:p>
        </w:tc>
        <w:tc>
          <w:tcPr/>
          <w:p>
            <w:pPr>
              <w:pStyle w:val="Compact"/>
            </w:pPr>
            <w:r>
              <w:t xml:space="preserve">benchmark alloy (actual)</w:t>
            </w:r>
          </w:p>
        </w:tc>
      </w:tr>
      <w:tr>
        <w:tc>
          <w:tcPr/>
          <w:p>
            <w:pPr>
              <w:pStyle w:val="Compact"/>
            </w:pPr>
            <w:r>
              <w:t xml:space="preserve">Fe</w:t>
            </w:r>
          </w:p>
        </w:tc>
        <w:tc>
          <w:tcPr/>
          <w:p>
            <w:pPr>
              <w:pStyle w:val="Compact"/>
            </w:pPr>
            <w:r>
              <w:t xml:space="preserve">54.5</w:t>
            </w:r>
          </w:p>
        </w:tc>
        <w:tc>
          <w:tcPr/>
          <w:p>
            <w:pPr>
              <w:pStyle w:val="Compact"/>
            </w:pPr>
            <w:r>
              <w:t xml:space="preserve">55.83</w:t>
            </w:r>
          </w:p>
        </w:tc>
        <w:tc>
          <w:tcPr/>
          <w:p>
            <w:pPr>
              <w:pStyle w:val="Compact"/>
            </w:pPr>
            <w:r>
              <w:t xml:space="preserve">47.08</w:t>
            </w:r>
          </w:p>
        </w:tc>
        <w:tc>
          <w:tcPr/>
          <w:p>
            <w:pPr>
              <w:pStyle w:val="Compact"/>
            </w:pPr>
            <w:r>
              <w:t xml:space="preserve">46.51</w:t>
            </w:r>
          </w:p>
        </w:tc>
      </w:tr>
      <w:tr>
        <w:tc>
          <w:tcPr/>
          <w:p>
            <w:pPr>
              <w:pStyle w:val="Compact"/>
            </w:pPr>
            <w:r>
              <w:t xml:space="preserve">Mn</w:t>
            </w:r>
          </w:p>
        </w:tc>
        <w:tc>
          <w:tcPr/>
          <w:p>
            <w:pPr>
              <w:pStyle w:val="Compact"/>
            </w:pPr>
            <w:r>
              <w:t xml:space="preserve">32.3</w:t>
            </w:r>
          </w:p>
        </w:tc>
        <w:tc>
          <w:tcPr/>
          <w:p>
            <w:pPr>
              <w:pStyle w:val="Compact"/>
            </w:pPr>
            <w:r>
              <w:t xml:space="preserve">31.78</w:t>
            </w:r>
          </w:p>
        </w:tc>
        <w:tc>
          <w:tcPr/>
          <w:p>
            <w:pPr>
              <w:pStyle w:val="Compact"/>
            </w:pPr>
            <w:r>
              <w:t xml:space="preserve">36.43</w:t>
            </w:r>
          </w:p>
        </w:tc>
        <w:tc>
          <w:tcPr/>
          <w:p>
            <w:pPr>
              <w:pStyle w:val="Compact"/>
            </w:pPr>
            <w:r>
              <w:t xml:space="preserve">36.49</w:t>
            </w:r>
          </w:p>
        </w:tc>
      </w:tr>
      <w:tr>
        <w:tc>
          <w:tcPr/>
          <w:p>
            <w:pPr>
              <w:pStyle w:val="Compact"/>
            </w:pPr>
            <w:r>
              <w:t xml:space="preserve">Al</w:t>
            </w:r>
          </w:p>
        </w:tc>
        <w:tc>
          <w:tcPr/>
          <w:p>
            <w:pPr>
              <w:pStyle w:val="Compact"/>
            </w:pPr>
            <w:r>
              <w:t xml:space="preserve">6.4</w:t>
            </w:r>
          </w:p>
        </w:tc>
        <w:tc>
          <w:tcPr/>
          <w:p>
            <w:pPr>
              <w:pStyle w:val="Compact"/>
            </w:pPr>
            <w:r>
              <w:t xml:space="preserve">6.24</w:t>
            </w:r>
          </w:p>
        </w:tc>
        <w:tc>
          <w:tcPr/>
          <w:p>
            <w:pPr>
              <w:pStyle w:val="Compact"/>
            </w:pPr>
            <w:r>
              <w:t xml:space="preserve">7.9</w:t>
            </w:r>
          </w:p>
        </w:tc>
        <w:tc>
          <w:tcPr/>
          <w:p>
            <w:pPr>
              <w:pStyle w:val="Compact"/>
            </w:pPr>
            <w:r>
              <w:t xml:space="preserve">8.00</w:t>
            </w:r>
          </w:p>
        </w:tc>
      </w:tr>
      <w:tr>
        <w:tc>
          <w:tcPr/>
          <w:p>
            <w:pPr>
              <w:pStyle w:val="Compact"/>
            </w:pPr>
            <w:r>
              <w:t xml:space="preserve">Ni</w:t>
            </w:r>
          </w:p>
        </w:tc>
        <w:tc>
          <w:tcPr/>
          <w:p>
            <w:pPr>
              <w:pStyle w:val="Compact"/>
            </w:pPr>
            <w:r>
              <w:t xml:space="preserve">4.6</w:t>
            </w:r>
          </w:p>
        </w:tc>
        <w:tc>
          <w:tcPr/>
          <w:p>
            <w:pPr>
              <w:pStyle w:val="Compact"/>
            </w:pPr>
            <w:r>
              <w:t xml:space="preserve">4.81</w:t>
            </w:r>
          </w:p>
        </w:tc>
        <w:tc>
          <w:tcPr/>
          <w:p>
            <w:pPr>
              <w:pStyle w:val="Compact"/>
            </w:pPr>
            <w:r>
              <w:t xml:space="preserve">8.59</w:t>
            </w:r>
          </w:p>
        </w:tc>
        <w:tc>
          <w:tcPr/>
          <w:p>
            <w:pPr>
              <w:pStyle w:val="Compact"/>
            </w:pPr>
            <w:r>
              <w:t xml:space="preserve">8.94</w:t>
            </w:r>
          </w:p>
        </w:tc>
      </w:tr>
      <w:tr>
        <w:tc>
          <w:tcPr/>
          <w:p>
            <w:pPr>
              <w:pStyle w:val="Compact"/>
            </w:pPr>
            <w:r>
              <w:t xml:space="preserve">Si</w:t>
            </w:r>
          </w:p>
        </w:tc>
        <w:tc>
          <w:tcPr/>
          <w:p>
            <w:pPr>
              <w:pStyle w:val="Compact"/>
            </w:pPr>
            <w:r>
              <w:t xml:space="preserve">2.2</w:t>
            </w:r>
          </w:p>
        </w:tc>
        <w:tc>
          <w:tcPr/>
          <w:p>
            <w:pPr>
              <w:pStyle w:val="Compact"/>
            </w:pPr>
            <w:r>
              <w:t xml:space="preserve">1.11</w:t>
            </w:r>
          </w:p>
        </w:tc>
        <w:tc>
          <w:tcPr/>
          <w:p>
            <w:pPr>
              <w:pStyle w:val="Compact"/>
            </w:pPr>
            <w:r>
              <w:t xml:space="preserve">–</w:t>
            </w:r>
          </w:p>
        </w:tc>
        <w:tc>
          <w:tcPr/>
          <w:p>
            <w:pPr>
              <w:pStyle w:val="Compact"/>
            </w:pPr>
            <w:r>
              <w:t xml:space="preserve">&lt;0.01</w:t>
            </w:r>
          </w:p>
        </w:tc>
      </w:tr>
      <w:tr>
        <w:tc>
          <w:tcPr/>
          <w:p>
            <w:pPr>
              <w:pStyle w:val="Compact"/>
            </w:pPr>
            <w:r>
              <w:t xml:space="preserve">C</w:t>
            </w:r>
          </w:p>
        </w:tc>
        <w:tc>
          <w:tcPr/>
          <w:p>
            <w:pPr>
              <w:pStyle w:val="Compact"/>
            </w:pPr>
            <w:r>
              <w:t xml:space="preserve">0.1</w:t>
            </w:r>
          </w:p>
        </w:tc>
        <w:tc>
          <w:tcPr/>
          <w:p>
            <w:pPr>
              <w:pStyle w:val="Compact"/>
            </w:pPr>
            <w:r>
              <w:t xml:space="preserve">0.105</w:t>
            </w:r>
          </w:p>
        </w:tc>
        <w:tc>
          <w:tcPr/>
          <w:p>
            <w:pPr>
              <w:pStyle w:val="Compact"/>
            </w:pPr>
            <w:r>
              <w:t xml:space="preserve">–</w:t>
            </w:r>
          </w:p>
        </w:tc>
        <w:tc>
          <w:tcPr/>
          <w:p>
            <w:pPr>
              <w:pStyle w:val="Compact"/>
            </w:pPr>
            <w:r>
              <w:t xml:space="preserve">0.01</w:t>
            </w:r>
          </w:p>
        </w:tc>
      </w:tr>
      <w:tr>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0.06</w:t>
            </w:r>
          </w:p>
        </w:tc>
      </w:tr>
    </w:tbl>
    <w:p>
      <w:pPr>
        <w:pStyle w:val="BodyText"/>
      </w:pPr>
      <w:r>
        <w:rPr>
          <w:b/>
          <w:bCs/>
        </w:rPr>
        <w:t xml:space="preserve">Table 2.</w:t>
      </w:r>
      <w:r>
        <w:t xml:space="preserve"> </w:t>
      </w:r>
      <w:r>
        <w:t xml:space="preserve">Mechanical properties of the LLM-alloy (0.36 mm wire) after heat treatment for 1 minute at different temperatures, tested on a 127 mm gauge (Sec. 2.4); E is the apparent modulus from crosshead strain. Each data point is the average of three samples; the uncertainty is one standard deviation.</w:t>
      </w:r>
    </w:p>
    <w:tbl>
      <w:tblPr>
        <w:tblStyle w:val="Table"/>
        <w:tblW w:type="pct" w:w="5000"/>
        <w:tblLayout w:type="fixed"/>
        <w:tblLook w:firstRow="1" w:lastRow="0" w:firstColumn="0" w:lastColumn="0" w:noHBand="0" w:noVBand="0" w:val="0020"/>
      </w:tblPr>
      <w:tblGrid>
        <w:gridCol w:w="1320"/>
        <w:gridCol w:w="1760"/>
        <w:gridCol w:w="1760"/>
        <w:gridCol w:w="1540"/>
        <w:gridCol w:w="1540"/>
      </w:tblGrid>
      <w:tr>
        <w:trPr>
          <w:tblHeader w:val="on"/>
        </w:trPr>
        <w:tc>
          <w:tcPr/>
          <w:p>
            <w:pPr>
              <w:pStyle w:val="Compact"/>
            </w:pPr>
            <w:r>
              <w:t xml:space="preserve">Temp. (°C)</w:t>
            </w:r>
          </w:p>
        </w:tc>
        <w:tc>
          <w:tcPr/>
          <w:p>
            <w:pPr>
              <w:pStyle w:val="Compact"/>
            </w:pPr>
            <w:r>
              <w:t xml:space="preserve">σ₀.₂ (MPa)</w:t>
            </w:r>
          </w:p>
        </w:tc>
        <w:tc>
          <w:tcPr/>
          <w:p>
            <w:pPr>
              <w:pStyle w:val="Compact"/>
            </w:pPr>
            <w:r>
              <w:t xml:space="preserve">UTS (MPa)</w:t>
            </w:r>
          </w:p>
        </w:tc>
        <w:tc>
          <w:tcPr/>
          <w:p>
            <w:pPr>
              <w:pStyle w:val="Compact"/>
            </w:pPr>
            <w:r>
              <w:t xml:space="preserve">Elong. (%)</w:t>
            </w:r>
          </w:p>
        </w:tc>
        <w:tc>
          <w:tcPr/>
          <w:p>
            <w:pPr>
              <w:pStyle w:val="Compact"/>
            </w:pPr>
            <w:r>
              <w:t xml:space="preserve">E (GPa)</w:t>
            </w:r>
          </w:p>
        </w:tc>
      </w:tr>
      <w:tr>
        <w:tc>
          <w:tcPr/>
          <w:p>
            <w:pPr>
              <w:pStyle w:val="Compact"/>
            </w:pPr>
            <w:r>
              <w:t xml:space="preserve">As drawn</w:t>
            </w:r>
          </w:p>
        </w:tc>
        <w:tc>
          <w:tcPr/>
          <w:p>
            <w:pPr>
              <w:pStyle w:val="Compact"/>
            </w:pPr>
            <w:r>
              <w:t xml:space="preserve">1587.9 ± 63.7</w:t>
            </w:r>
          </w:p>
        </w:tc>
        <w:tc>
          <w:tcPr/>
          <w:p>
            <w:pPr>
              <w:pStyle w:val="Compact"/>
            </w:pPr>
            <w:r>
              <w:t xml:space="preserve">1936.6 ± 19.2</w:t>
            </w:r>
          </w:p>
        </w:tc>
        <w:tc>
          <w:tcPr/>
          <w:p>
            <w:pPr>
              <w:pStyle w:val="Compact"/>
            </w:pPr>
            <w:r>
              <w:t xml:space="preserve">2.0 ± 0.1</w:t>
            </w:r>
          </w:p>
        </w:tc>
        <w:tc>
          <w:tcPr/>
          <w:p>
            <w:pPr>
              <w:pStyle w:val="Compact"/>
            </w:pPr>
            <w:r>
              <w:t xml:space="preserve">138.5 ± 5.1</w:t>
            </w:r>
          </w:p>
        </w:tc>
      </w:tr>
      <w:tr>
        <w:tc>
          <w:tcPr/>
          <w:p>
            <w:pPr>
              <w:pStyle w:val="Compact"/>
            </w:pPr>
            <w:r>
              <w:t xml:space="preserve">600</w:t>
            </w:r>
          </w:p>
        </w:tc>
        <w:tc>
          <w:tcPr/>
          <w:p>
            <w:pPr>
              <w:pStyle w:val="Compact"/>
            </w:pPr>
            <w:r>
              <w:t xml:space="preserve">1908.0 ± 29.2</w:t>
            </w:r>
          </w:p>
        </w:tc>
        <w:tc>
          <w:tcPr/>
          <w:p>
            <w:pPr>
              <w:pStyle w:val="Compact"/>
            </w:pPr>
            <w:r>
              <w:t xml:space="preserve">2254.3 ± 27.3</w:t>
            </w:r>
          </w:p>
        </w:tc>
        <w:tc>
          <w:tcPr/>
          <w:p>
            <w:pPr>
              <w:pStyle w:val="Compact"/>
            </w:pPr>
            <w:r>
              <w:t xml:space="preserve">2.2 ± 0.1</w:t>
            </w:r>
          </w:p>
        </w:tc>
        <w:tc>
          <w:tcPr/>
          <w:p>
            <w:pPr>
              <w:pStyle w:val="Compact"/>
            </w:pPr>
            <w:r>
              <w:t xml:space="preserve">155.7 ± 2.2</w:t>
            </w:r>
          </w:p>
        </w:tc>
      </w:tr>
      <w:tr>
        <w:tc>
          <w:tcPr/>
          <w:p>
            <w:pPr>
              <w:pStyle w:val="Compact"/>
            </w:pPr>
            <w:r>
              <w:t xml:space="preserve">700</w:t>
            </w:r>
          </w:p>
        </w:tc>
        <w:tc>
          <w:tcPr/>
          <w:p>
            <w:pPr>
              <w:pStyle w:val="Compact"/>
            </w:pPr>
            <w:r>
              <w:t xml:space="preserve">1635.3 ± 35.9</w:t>
            </w:r>
          </w:p>
        </w:tc>
        <w:tc>
          <w:tcPr/>
          <w:p>
            <w:pPr>
              <w:pStyle w:val="Compact"/>
            </w:pPr>
            <w:r>
              <w:t xml:space="preserve">1876.0 ± 9.4</w:t>
            </w:r>
          </w:p>
        </w:tc>
        <w:tc>
          <w:tcPr/>
          <w:p>
            <w:pPr>
              <w:pStyle w:val="Compact"/>
            </w:pPr>
            <w:r>
              <w:t xml:space="preserve">2.2 ± 0.0</w:t>
            </w:r>
          </w:p>
        </w:tc>
        <w:tc>
          <w:tcPr/>
          <w:p>
            <w:pPr>
              <w:pStyle w:val="Compact"/>
            </w:pPr>
            <w:r>
              <w:t xml:space="preserve">156.1 ± 2.0</w:t>
            </w:r>
          </w:p>
        </w:tc>
      </w:tr>
      <w:tr>
        <w:tc>
          <w:tcPr/>
          <w:p>
            <w:pPr>
              <w:pStyle w:val="Compact"/>
            </w:pPr>
            <w:r>
              <w:t xml:space="preserve">800</w:t>
            </w:r>
          </w:p>
        </w:tc>
        <w:tc>
          <w:tcPr/>
          <w:p>
            <w:pPr>
              <w:pStyle w:val="Compact"/>
            </w:pPr>
            <w:r>
              <w:t xml:space="preserve">1151.1 ± 11.3</w:t>
            </w:r>
          </w:p>
        </w:tc>
        <w:tc>
          <w:tcPr/>
          <w:p>
            <w:pPr>
              <w:pStyle w:val="Compact"/>
            </w:pPr>
            <w:r>
              <w:t xml:space="preserve">1208.6 ± 5.2</w:t>
            </w:r>
          </w:p>
        </w:tc>
        <w:tc>
          <w:tcPr/>
          <w:p>
            <w:pPr>
              <w:pStyle w:val="Compact"/>
            </w:pPr>
            <w:r>
              <w:t xml:space="preserve">26.1 ± 1.7</w:t>
            </w:r>
          </w:p>
        </w:tc>
        <w:tc>
          <w:tcPr/>
          <w:p>
            <w:pPr>
              <w:pStyle w:val="Compact"/>
            </w:pPr>
            <w:r>
              <w:t xml:space="preserve">151.4 ± 2.9</w:t>
            </w:r>
          </w:p>
        </w:tc>
      </w:tr>
      <w:tr>
        <w:tc>
          <w:tcPr/>
          <w:p>
            <w:pPr>
              <w:pStyle w:val="Compact"/>
            </w:pPr>
            <w:r>
              <w:t xml:space="preserve">900</w:t>
            </w:r>
          </w:p>
        </w:tc>
        <w:tc>
          <w:tcPr/>
          <w:p>
            <w:pPr>
              <w:pStyle w:val="Compact"/>
            </w:pPr>
            <w:r>
              <w:t xml:space="preserve">936.3 ± 5.5</w:t>
            </w:r>
          </w:p>
        </w:tc>
        <w:tc>
          <w:tcPr/>
          <w:p>
            <w:pPr>
              <w:pStyle w:val="Compact"/>
            </w:pPr>
            <w:r>
              <w:t xml:space="preserve">1081.5 ± 2.5</w:t>
            </w:r>
          </w:p>
        </w:tc>
        <w:tc>
          <w:tcPr/>
          <w:p>
            <w:pPr>
              <w:pStyle w:val="Compact"/>
            </w:pPr>
            <w:r>
              <w:t xml:space="preserve">30.6 ± 0.6</w:t>
            </w:r>
          </w:p>
        </w:tc>
        <w:tc>
          <w:tcPr/>
          <w:p>
            <w:pPr>
              <w:pStyle w:val="Compact"/>
            </w:pPr>
            <w:r>
              <w:t xml:space="preserve">153.1 ± 1.4</w:t>
            </w:r>
          </w:p>
        </w:tc>
      </w:tr>
      <w:tr>
        <w:tc>
          <w:tcPr/>
          <w:p>
            <w:pPr>
              <w:pStyle w:val="Compact"/>
            </w:pPr>
            <w:r>
              <w:t xml:space="preserve">1000</w:t>
            </w:r>
          </w:p>
        </w:tc>
        <w:tc>
          <w:tcPr/>
          <w:p>
            <w:pPr>
              <w:pStyle w:val="Compact"/>
            </w:pPr>
            <w:r>
              <w:t xml:space="preserve">674.8 ± 1.5</w:t>
            </w:r>
          </w:p>
        </w:tc>
        <w:tc>
          <w:tcPr/>
          <w:p>
            <w:pPr>
              <w:pStyle w:val="Compact"/>
            </w:pPr>
            <w:r>
              <w:t xml:space="preserve">977.8 ± 7.7</w:t>
            </w:r>
          </w:p>
        </w:tc>
        <w:tc>
          <w:tcPr/>
          <w:p>
            <w:pPr>
              <w:pStyle w:val="Compact"/>
            </w:pPr>
            <w:r>
              <w:t xml:space="preserve">33.0 ± 0.3</w:t>
            </w:r>
          </w:p>
        </w:tc>
        <w:tc>
          <w:tcPr/>
          <w:p>
            <w:pPr>
              <w:pStyle w:val="Compact"/>
            </w:pPr>
            <w:r>
              <w:t xml:space="preserve">156.0 ± 2.0</w:t>
            </w:r>
          </w:p>
        </w:tc>
      </w:tr>
      <w:tr>
        <w:tc>
          <w:tcPr/>
          <w:p>
            <w:pPr>
              <w:pStyle w:val="Compact"/>
            </w:pPr>
            <w:r>
              <w:t xml:space="preserve">1100</w:t>
            </w:r>
          </w:p>
        </w:tc>
        <w:tc>
          <w:tcPr/>
          <w:p>
            <w:pPr>
              <w:pStyle w:val="Compact"/>
            </w:pPr>
            <w:r>
              <w:t xml:space="preserve">570.6 ± 10.3</w:t>
            </w:r>
          </w:p>
        </w:tc>
        <w:tc>
          <w:tcPr/>
          <w:p>
            <w:pPr>
              <w:pStyle w:val="Compact"/>
            </w:pPr>
            <w:r>
              <w:t xml:space="preserve">970.3 ± 16.5</w:t>
            </w:r>
          </w:p>
        </w:tc>
        <w:tc>
          <w:tcPr/>
          <w:p>
            <w:pPr>
              <w:pStyle w:val="Compact"/>
            </w:pPr>
            <w:r>
              <w:t xml:space="preserve">29.1 ± 0.6</w:t>
            </w:r>
          </w:p>
        </w:tc>
        <w:tc>
          <w:tcPr/>
          <w:p>
            <w:pPr>
              <w:pStyle w:val="Compact"/>
            </w:pPr>
            <w:r>
              <w:t xml:space="preserve">161.9 ± 3.6</w:t>
            </w:r>
          </w:p>
        </w:tc>
      </w:tr>
      <w:tr>
        <w:tc>
          <w:tcPr/>
          <w:p>
            <w:pPr>
              <w:pStyle w:val="Compact"/>
            </w:pPr>
            <w:r>
              <w:t xml:space="preserve">1200</w:t>
            </w:r>
          </w:p>
        </w:tc>
        <w:tc>
          <w:tcPr/>
          <w:p>
            <w:pPr>
              <w:pStyle w:val="Compact"/>
            </w:pPr>
            <w:r>
              <w:t xml:space="preserve">518.7 ± 11.8</w:t>
            </w:r>
          </w:p>
        </w:tc>
        <w:tc>
          <w:tcPr/>
          <w:p>
            <w:pPr>
              <w:pStyle w:val="Compact"/>
            </w:pPr>
            <w:r>
              <w:t xml:space="preserve">968.3 ± 21.4</w:t>
            </w:r>
          </w:p>
        </w:tc>
        <w:tc>
          <w:tcPr/>
          <w:p>
            <w:pPr>
              <w:pStyle w:val="Compact"/>
            </w:pPr>
            <w:r>
              <w:t xml:space="preserve">25.6 ± 1.2</w:t>
            </w:r>
          </w:p>
        </w:tc>
        <w:tc>
          <w:tcPr/>
          <w:p>
            <w:pPr>
              <w:pStyle w:val="Compact"/>
            </w:pPr>
            <w:r>
              <w:t xml:space="preserve">161.2 ± 5.5</w:t>
            </w:r>
          </w:p>
        </w:tc>
      </w:tr>
    </w:tbl>
    <w:p>
      <w:pPr>
        <w:pStyle w:val="BodyText"/>
      </w:pPr>
      <w:r>
        <w:rPr>
          <w:b/>
          <w:bCs/>
        </w:rPr>
        <w:t xml:space="preserve">Table 3.</w:t>
      </w:r>
      <w:r>
        <w:t xml:space="preserve"> </w:t>
      </w:r>
      <w:r>
        <w:t xml:space="preserve">Calculated equilibrium phase fractions (mol%) at 1200 °C, the solution-treatment temperature. The benchmark alloy cannot be evaluated in PrecHiMn-04, which contains no 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Alloy</w:t>
            </w:r>
          </w:p>
        </w:tc>
        <w:tc>
          <w:tcPr/>
          <w:p>
            <w:pPr>
              <w:pStyle w:val="Compact"/>
            </w:pPr>
            <w:r>
              <w:t xml:space="preserve">mpea-02b</w:t>
            </w:r>
          </w:p>
        </w:tc>
        <w:tc>
          <w:tcPr/>
          <w:p>
            <w:pPr>
              <w:pStyle w:val="Compact"/>
            </w:pPr>
            <w:r>
              <w:t xml:space="preserve">PrecHiMn-04</w:t>
            </w:r>
          </w:p>
        </w:tc>
        <w:tc>
          <w:tcPr/>
          <w:p>
            <w:pPr>
              <w:pStyle w:val="Compact"/>
            </w:pPr>
            <w:r>
              <w:t xml:space="preserve">mc_fe v2.059</w:t>
            </w:r>
          </w:p>
        </w:tc>
      </w:tr>
      <w:tr>
        <w:tc>
          <w:tcPr/>
          <w:p>
            <w:pPr>
              <w:pStyle w:val="Compact"/>
            </w:pPr>
            <w:r>
              <w:t xml:space="preserve">benchmark alloy</w:t>
            </w:r>
          </w:p>
        </w:tc>
        <w:tc>
          <w:tcPr/>
          <w:p>
            <w:pPr>
              <w:pStyle w:val="Compact"/>
            </w:pPr>
            <w:r>
              <w:t xml:space="preserve">100 α</w:t>
            </w:r>
          </w:p>
        </w:tc>
        <w:tc>
          <w:tcPr/>
          <w:p>
            <w:pPr>
              <w:pStyle w:val="Compact"/>
            </w:pPr>
            <w:r>
              <w:t xml:space="preserve">–</w:t>
            </w:r>
          </w:p>
        </w:tc>
        <w:tc>
          <w:tcPr/>
          <w:p>
            <w:pPr>
              <w:pStyle w:val="Compact"/>
            </w:pPr>
            <w:r>
              <w:t xml:space="preserve">100 α</w:t>
            </w:r>
          </w:p>
        </w:tc>
      </w:tr>
      <w:tr>
        <w:tc>
          <w:tcPr/>
          <w:p>
            <w:pPr>
              <w:pStyle w:val="Compact"/>
            </w:pPr>
            <w:r>
              <w:t xml:space="preserve">LLM-alloy</w:t>
            </w:r>
          </w:p>
        </w:tc>
        <w:tc>
          <w:tcPr/>
          <w:p>
            <w:pPr>
              <w:pStyle w:val="Compact"/>
            </w:pPr>
            <w:r>
              <w:t xml:space="preserve">71.1 α + 28.9 γ</w:t>
            </w:r>
          </w:p>
        </w:tc>
        <w:tc>
          <w:tcPr/>
          <w:p>
            <w:pPr>
              <w:pStyle w:val="Compact"/>
            </w:pPr>
            <w:r>
              <w:t xml:space="preserve">64.5 α + 35.5 γ</w:t>
            </w:r>
          </w:p>
        </w:tc>
        <w:tc>
          <w:tcPr/>
          <w:p>
            <w:pPr>
              <w:pStyle w:val="Compact"/>
            </w:pPr>
            <w:r>
              <w:t xml:space="preserve">61.9 α + 38.1 γ</w:t>
            </w:r>
          </w:p>
        </w:tc>
      </w:tr>
      <w:tr>
        <w:tc>
          <w:tcPr/>
          <w:p>
            <w:pPr>
              <w:pStyle w:val="Compact"/>
            </w:pPr>
            <w:r>
              <w:t xml:space="preserve">LLM-alloy, C removed</w:t>
            </w:r>
          </w:p>
        </w:tc>
        <w:tc>
          <w:tcPr/>
          <w:p>
            <w:pPr>
              <w:pStyle w:val="Compact"/>
            </w:pPr>
            <w:r>
              <w:t xml:space="preserve">100 α</w:t>
            </w:r>
          </w:p>
        </w:tc>
        <w:tc>
          <w:tcPr/>
          <w:p>
            <w:pPr>
              <w:pStyle w:val="Compact"/>
            </w:pPr>
            <w:r>
              <w:t xml:space="preserve">100 α</w:t>
            </w:r>
          </w:p>
        </w:tc>
        <w:tc>
          <w:tcPr/>
          <w:p>
            <w:pPr>
              <w:pStyle w:val="Compact"/>
            </w:pPr>
            <w:r>
              <w:t xml:space="preserve">100 α</w:t>
            </w:r>
          </w:p>
        </w:tc>
      </w:tr>
    </w:tbl>
    <w:p>
      <w:pPr>
        <w:pStyle w:val="BodyText"/>
      </w:pPr>
      <w:r>
        <w:rPr>
          <w:b/>
          <w:bCs/>
        </w:rPr>
        <w:t xml:space="preserve">Table 4.</w:t>
      </w:r>
      <w:r>
        <w:t xml:space="preserve"> </w:t>
      </w:r>
      <w:r>
        <w:t xml:space="preserve">Calculated single-phase α field in the solid state and calculated solidus (°C).</w:t>
      </w:r>
      <w:r>
        <w:t xml:space="preserve"> </w:t>
      </w:r>
      <w:r>
        <w:t xml:space="preserve">“None”</w:t>
      </w:r>
      <w:r>
        <w:t xml:space="preserve"> </w:t>
      </w:r>
      <w:r>
        <w:t xml:space="preserve">means that liquid appears before the last γ dissolves. Values are read from a 10 °C temperature grid and carry that resolution (±10 °C); the solidus is where the liquid fraction first exceeds 0.5%.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Alloy</w:t>
            </w:r>
          </w:p>
        </w:tc>
        <w:tc>
          <w:tcPr/>
          <w:p>
            <w:pPr>
              <w:pStyle w:val="Compact"/>
            </w:pPr>
            <w:r>
              <w:t xml:space="preserve">mpea-02b</w:t>
            </w:r>
          </w:p>
        </w:tc>
        <w:tc>
          <w:tcPr/>
          <w:p>
            <w:pPr>
              <w:pStyle w:val="Compact"/>
            </w:pPr>
            <w:r>
              <w:t xml:space="preserve">PrecHiMn-04</w:t>
            </w:r>
          </w:p>
        </w:tc>
        <w:tc>
          <w:tcPr/>
          <w:p>
            <w:pPr>
              <w:pStyle w:val="Compact"/>
            </w:pPr>
            <w:r>
              <w:t xml:space="preserve">mc_fe v2.059</w:t>
            </w:r>
          </w:p>
        </w:tc>
      </w:tr>
      <w:tr>
        <w:tc>
          <w:tcPr/>
          <w:p>
            <w:pPr>
              <w:pStyle w:val="Compact"/>
            </w:pPr>
            <w:r>
              <w:t xml:space="preserve">benchmark alloy</w:t>
            </w:r>
          </w:p>
        </w:tc>
        <w:tc>
          <w:tcPr/>
          <w:p>
            <w:pPr>
              <w:pStyle w:val="Compact"/>
            </w:pPr>
            <w:r>
              <w:t xml:space="preserve">α 1140–1320; solidus ≈1325</w:t>
            </w:r>
          </w:p>
        </w:tc>
        <w:tc>
          <w:tcPr/>
          <w:p>
            <w:pPr>
              <w:pStyle w:val="Compact"/>
            </w:pPr>
            <w:r>
              <w:t xml:space="preserve">–</w:t>
            </w:r>
          </w:p>
        </w:tc>
        <w:tc>
          <w:tcPr/>
          <w:p>
            <w:pPr>
              <w:pStyle w:val="Compact"/>
            </w:pPr>
            <w:r>
              <w:t xml:space="preserve">α 950–1360; solidus ≈1375</w:t>
            </w:r>
          </w:p>
        </w:tc>
      </w:tr>
      <w:tr>
        <w:tc>
          <w:tcPr/>
          <w:p>
            <w:pPr>
              <w:pStyle w:val="Compact"/>
            </w:pPr>
            <w:r>
              <w:t xml:space="preserve">LLM-alloy</w:t>
            </w:r>
          </w:p>
        </w:tc>
        <w:tc>
          <w:tcPr/>
          <w:p>
            <w:pPr>
              <w:pStyle w:val="Compact"/>
            </w:pPr>
            <w:r>
              <w:t xml:space="preserve">none; solidus ≈1295</w:t>
            </w:r>
          </w:p>
        </w:tc>
        <w:tc>
          <w:tcPr/>
          <w:p>
            <w:pPr>
              <w:pStyle w:val="Compact"/>
            </w:pPr>
            <w:r>
              <w:t xml:space="preserve">none; solidus ≈1295</w:t>
            </w:r>
          </w:p>
        </w:tc>
        <w:tc>
          <w:tcPr/>
          <w:p>
            <w:pPr>
              <w:pStyle w:val="Compact"/>
            </w:pPr>
            <w:r>
              <w:t xml:space="preserve">none; solidus ≈1240</w:t>
            </w:r>
          </w:p>
        </w:tc>
      </w:tr>
      <w:tr>
        <w:tc>
          <w:tcPr/>
          <w:p>
            <w:pPr>
              <w:pStyle w:val="Compact"/>
            </w:pPr>
            <w:r>
              <w:t xml:space="preserve">LLM-alloy, C removed</w:t>
            </w:r>
          </w:p>
        </w:tc>
        <w:tc>
          <w:tcPr/>
          <w:p>
            <w:pPr>
              <w:pStyle w:val="Compact"/>
            </w:pPr>
            <w:r>
              <w:t xml:space="preserve">α 1150–1370; solidus ≈1375</w:t>
            </w:r>
          </w:p>
        </w:tc>
        <w:tc>
          <w:tcPr/>
          <w:p>
            <w:pPr>
              <w:pStyle w:val="Compact"/>
            </w:pPr>
            <w:r>
              <w:t xml:space="preserve">α 1160–1290; solidus ≈1295</w:t>
            </w:r>
          </w:p>
        </w:tc>
        <w:tc>
          <w:tcPr/>
          <w:p>
            <w:pPr>
              <w:pStyle w:val="Compact"/>
            </w:pPr>
            <w:r>
              <w:t xml:space="preserve">α 1130–1240; solidus ≈1245</w:t>
            </w:r>
          </w:p>
        </w:tc>
      </w:tr>
    </w:tbl>
    <w:bookmarkEnd w:id="107"/>
    <w:bookmarkStart w:id="138" w:name="Xa38481a04f06bf2d74bd01fa73f89bbe2092c54"/>
    <w:p>
      <w:pPr>
        <w:pStyle w:val="Heading1"/>
      </w:pPr>
      <w:r>
        <w:t xml:space="preserve">Figures (embedded for review; separate files uploaded)</w:t>
      </w:r>
    </w:p>
    <w:p>
      <w:pPr>
        <w:pStyle w:val="FirstParagraph"/>
      </w:pPr>
      <w:r>
        <w:drawing>
          <wp:inline>
            <wp:extent cx="3642360" cy="2843784"/>
            <wp:effectExtent b="0" l="0" r="0" t="0"/>
            <wp:docPr descr="" title="" id="109" name="Picture"/>
            <a:graphic>
              <a:graphicData uri="http://schemas.openxmlformats.org/drawingml/2006/picture">
                <pic:pic>
                  <pic:nvPicPr>
                    <pic:cNvPr descr="figures/Figure_1.jpg" id="110" name="Picture"/>
                    <pic:cNvPicPr>
                      <a:picLocks noChangeArrowheads="1" noChangeAspect="1"/>
                    </pic:cNvPicPr>
                  </pic:nvPicPr>
                  <pic:blipFill>
                    <a:blip r:embed="rId108"/>
                    <a:stretch>
                      <a:fillRect/>
                    </a:stretch>
                  </pic:blipFill>
                  <pic:spPr bwMode="auto">
                    <a:xfrm>
                      <a:off x="0" y="0"/>
                      <a:ext cx="3642360" cy="2843784"/>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112" name="Picture"/>
            <a:graphic>
              <a:graphicData uri="http://schemas.openxmlformats.org/drawingml/2006/picture">
                <pic:pic>
                  <pic:nvPicPr>
                    <pic:cNvPr descr="figures/Figure_2.png" id="113" name="Picture"/>
                    <pic:cNvPicPr>
                      <a:picLocks noChangeArrowheads="1" noChangeAspect="1"/>
                    </pic:cNvPicPr>
                  </pic:nvPicPr>
                  <pic:blipFill>
                    <a:blip r:embed="rId11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014968"/>
            <wp:effectExtent b="0" l="0" r="0" t="0"/>
            <wp:docPr descr="" title="" id="115" name="Picture"/>
            <a:graphic>
              <a:graphicData uri="http://schemas.openxmlformats.org/drawingml/2006/picture">
                <pic:pic>
                  <pic:nvPicPr>
                    <pic:cNvPr descr="figures/Figure_3.jpg" id="116" name="Picture"/>
                    <pic:cNvPicPr>
                      <a:picLocks noChangeArrowheads="1" noChangeAspect="1"/>
                    </pic:cNvPicPr>
                  </pic:nvPicPr>
                  <pic:blipFill>
                    <a:blip r:embed="rId114"/>
                    <a:stretch>
                      <a:fillRect/>
                    </a:stretch>
                  </pic:blipFill>
                  <pic:spPr bwMode="auto">
                    <a:xfrm>
                      <a:off x="0" y="0"/>
                      <a:ext cx="5334000" cy="2014968"/>
                    </a:xfrm>
                    <a:prstGeom prst="rect">
                      <a:avLst/>
                    </a:prstGeom>
                    <a:noFill/>
                    <a:ln w="9525">
                      <a:noFill/>
                      <a:headEnd/>
                      <a:tailEnd/>
                    </a:ln>
                  </pic:spPr>
                </pic:pic>
              </a:graphicData>
            </a:graphic>
          </wp:inline>
        </w:drawing>
      </w:r>
    </w:p>
    <w:p>
      <w:pPr>
        <w:pStyle w:val="BodyText"/>
      </w:pPr>
      <w:r>
        <w:drawing>
          <wp:inline>
            <wp:extent cx="5334000" cy="5207668"/>
            <wp:effectExtent b="0" l="0" r="0" t="0"/>
            <wp:docPr descr="" title="" id="118" name="Picture"/>
            <a:graphic>
              <a:graphicData uri="http://schemas.openxmlformats.org/drawingml/2006/picture">
                <pic:pic>
                  <pic:nvPicPr>
                    <pic:cNvPr descr="figures/Figure_4.jpg" id="119" name="Picture"/>
                    <pic:cNvPicPr>
                      <a:picLocks noChangeArrowheads="1" noChangeAspect="1"/>
                    </pic:cNvPicPr>
                  </pic:nvPicPr>
                  <pic:blipFill>
                    <a:blip r:embed="rId117"/>
                    <a:stretch>
                      <a:fillRect/>
                    </a:stretch>
                  </pic:blipFill>
                  <pic:spPr bwMode="auto">
                    <a:xfrm>
                      <a:off x="0" y="0"/>
                      <a:ext cx="5334000" cy="5207668"/>
                    </a:xfrm>
                    <a:prstGeom prst="rect">
                      <a:avLst/>
                    </a:prstGeom>
                    <a:noFill/>
                    <a:ln w="9525">
                      <a:noFill/>
                      <a:headEnd/>
                      <a:tailEnd/>
                    </a:ln>
                  </pic:spPr>
                </pic:pic>
              </a:graphicData>
            </a:graphic>
          </wp:inline>
        </w:drawing>
      </w:r>
    </w:p>
    <w:p>
      <w:pPr>
        <w:pStyle w:val="BodyText"/>
      </w:pPr>
      <w:r>
        <w:drawing>
          <wp:inline>
            <wp:extent cx="2993136" cy="4465320"/>
            <wp:effectExtent b="0" l="0" r="0" t="0"/>
            <wp:docPr descr="" title="" id="121" name="Picture"/>
            <a:graphic>
              <a:graphicData uri="http://schemas.openxmlformats.org/drawingml/2006/picture">
                <pic:pic>
                  <pic:nvPicPr>
                    <pic:cNvPr descr="figures/Figure_5.jpg" id="122" name="Picture"/>
                    <pic:cNvPicPr>
                      <a:picLocks noChangeArrowheads="1" noChangeAspect="1"/>
                    </pic:cNvPicPr>
                  </pic:nvPicPr>
                  <pic:blipFill>
                    <a:blip r:embed="rId120"/>
                    <a:stretch>
                      <a:fillRect/>
                    </a:stretch>
                  </pic:blipFill>
                  <pic:spPr bwMode="auto">
                    <a:xfrm>
                      <a:off x="0" y="0"/>
                      <a:ext cx="2993136" cy="4465320"/>
                    </a:xfrm>
                    <a:prstGeom prst="rect">
                      <a:avLst/>
                    </a:prstGeom>
                    <a:noFill/>
                    <a:ln w="9525">
                      <a:noFill/>
                      <a:headEnd/>
                      <a:tailEnd/>
                    </a:ln>
                  </pic:spPr>
                </pic:pic>
              </a:graphicData>
            </a:graphic>
          </wp:inline>
        </w:drawing>
      </w:r>
    </w:p>
    <w:p>
      <w:pPr>
        <w:pStyle w:val="BodyText"/>
      </w:pPr>
      <w:r>
        <w:drawing>
          <wp:inline>
            <wp:extent cx="5120640" cy="5943600"/>
            <wp:effectExtent b="0" l="0" r="0" t="0"/>
            <wp:docPr descr="" title="" id="124" name="Picture"/>
            <a:graphic>
              <a:graphicData uri="http://schemas.openxmlformats.org/drawingml/2006/picture">
                <pic:pic>
                  <pic:nvPicPr>
                    <pic:cNvPr descr="figures/Figure_6.jpg" id="125" name="Picture"/>
                    <pic:cNvPicPr>
                      <a:picLocks noChangeArrowheads="1" noChangeAspect="1"/>
                    </pic:cNvPicPr>
                  </pic:nvPicPr>
                  <pic:blipFill>
                    <a:blip r:embed="rId123"/>
                    <a:stretch>
                      <a:fillRect/>
                    </a:stretch>
                  </pic:blipFill>
                  <pic:spPr bwMode="auto">
                    <a:xfrm>
                      <a:off x="0" y="0"/>
                      <a:ext cx="5120640" cy="5943600"/>
                    </a:xfrm>
                    <a:prstGeom prst="rect">
                      <a:avLst/>
                    </a:prstGeom>
                    <a:noFill/>
                    <a:ln w="9525">
                      <a:noFill/>
                      <a:headEnd/>
                      <a:tailEnd/>
                    </a:ln>
                  </pic:spPr>
                </pic:pic>
              </a:graphicData>
            </a:graphic>
          </wp:inline>
        </w:drawing>
      </w:r>
    </w:p>
    <w:p>
      <w:pPr>
        <w:pStyle w:val="BodyText"/>
      </w:pPr>
      <w:r>
        <w:drawing>
          <wp:inline>
            <wp:extent cx="3404616" cy="1234440"/>
            <wp:effectExtent b="0" l="0" r="0" t="0"/>
            <wp:docPr descr="" title="" id="127" name="Picture"/>
            <a:graphic>
              <a:graphicData uri="http://schemas.openxmlformats.org/drawingml/2006/picture">
                <pic:pic>
                  <pic:nvPicPr>
                    <pic:cNvPr descr="figures/Figure_7.jpg" id="128" name="Picture"/>
                    <pic:cNvPicPr>
                      <a:picLocks noChangeArrowheads="1" noChangeAspect="1"/>
                    </pic:cNvPicPr>
                  </pic:nvPicPr>
                  <pic:blipFill>
                    <a:blip r:embed="rId126"/>
                    <a:stretch>
                      <a:fillRect/>
                    </a:stretch>
                  </pic:blipFill>
                  <pic:spPr bwMode="auto">
                    <a:xfrm>
                      <a:off x="0" y="0"/>
                      <a:ext cx="3404616" cy="1234440"/>
                    </a:xfrm>
                    <a:prstGeom prst="rect">
                      <a:avLst/>
                    </a:prstGeom>
                    <a:noFill/>
                    <a:ln w="9525">
                      <a:noFill/>
                      <a:headEnd/>
                      <a:tailEnd/>
                    </a:ln>
                  </pic:spPr>
                </pic:pic>
              </a:graphicData>
            </a:graphic>
          </wp:inline>
        </w:drawing>
      </w:r>
    </w:p>
    <w:p>
      <w:pPr>
        <w:pStyle w:val="BodyText"/>
      </w:pPr>
      <w:r>
        <w:drawing>
          <wp:inline>
            <wp:extent cx="3566160" cy="3410712"/>
            <wp:effectExtent b="0" l="0" r="0" t="0"/>
            <wp:docPr descr="" title="" id="130" name="Picture"/>
            <a:graphic>
              <a:graphicData uri="http://schemas.openxmlformats.org/drawingml/2006/picture">
                <pic:pic>
                  <pic:nvPicPr>
                    <pic:cNvPr descr="figures/Figure_8.jpg" id="131" name="Picture"/>
                    <pic:cNvPicPr>
                      <a:picLocks noChangeArrowheads="1" noChangeAspect="1"/>
                    </pic:cNvPicPr>
                  </pic:nvPicPr>
                  <pic:blipFill>
                    <a:blip r:embed="rId129"/>
                    <a:stretch>
                      <a:fillRect/>
                    </a:stretch>
                  </pic:blipFill>
                  <pic:spPr bwMode="auto">
                    <a:xfrm>
                      <a:off x="0" y="0"/>
                      <a:ext cx="3566160" cy="3410712"/>
                    </a:xfrm>
                    <a:prstGeom prst="rect">
                      <a:avLst/>
                    </a:prstGeom>
                    <a:noFill/>
                    <a:ln w="9525">
                      <a:noFill/>
                      <a:headEnd/>
                      <a:tailEnd/>
                    </a:ln>
                  </pic:spPr>
                </pic:pic>
              </a:graphicData>
            </a:graphic>
          </wp:inline>
        </w:drawing>
      </w:r>
    </w:p>
    <w:p>
      <w:pPr>
        <w:pStyle w:val="BodyText"/>
      </w:pPr>
      <w:r>
        <w:drawing>
          <wp:inline>
            <wp:extent cx="5334000" cy="1862666"/>
            <wp:effectExtent b="0" l="0" r="0" t="0"/>
            <wp:docPr descr="" title="" id="133" name="Picture"/>
            <a:graphic>
              <a:graphicData uri="http://schemas.openxmlformats.org/drawingml/2006/picture">
                <pic:pic>
                  <pic:nvPicPr>
                    <pic:cNvPr descr="figures/Figure_9.png" id="134" name="Picture"/>
                    <pic:cNvPicPr>
                      <a:picLocks noChangeArrowheads="1" noChangeAspect="1"/>
                    </pic:cNvPicPr>
                  </pic:nvPicPr>
                  <pic:blipFill>
                    <a:blip r:embed="rId132"/>
                    <a:stretch>
                      <a:fillRect/>
                    </a:stretch>
                  </pic:blipFill>
                  <pic:spPr bwMode="auto">
                    <a:xfrm>
                      <a:off x="0" y="0"/>
                      <a:ext cx="5334000" cy="1862666"/>
                    </a:xfrm>
                    <a:prstGeom prst="rect">
                      <a:avLst/>
                    </a:prstGeom>
                    <a:noFill/>
                    <a:ln w="9525">
                      <a:noFill/>
                      <a:headEnd/>
                      <a:tailEnd/>
                    </a:ln>
                  </pic:spPr>
                </pic:pic>
              </a:graphicData>
            </a:graphic>
          </wp:inline>
        </w:drawing>
      </w:r>
    </w:p>
    <w:p>
      <w:pPr>
        <w:pStyle w:val="BodyText"/>
      </w:pPr>
      <w:r>
        <w:drawing>
          <wp:inline>
            <wp:extent cx="5334000" cy="3087729"/>
            <wp:effectExtent b="0" l="0" r="0" t="0"/>
            <wp:docPr descr="" title="" id="136" name="Picture"/>
            <a:graphic>
              <a:graphicData uri="http://schemas.openxmlformats.org/drawingml/2006/picture">
                <pic:pic>
                  <pic:nvPicPr>
                    <pic:cNvPr descr="figures/Figure_10.png" id="137" name="Picture"/>
                    <pic:cNvPicPr>
                      <a:picLocks noChangeArrowheads="1" noChangeAspect="1"/>
                    </pic:cNvPicPr>
                  </pic:nvPicPr>
                  <pic:blipFill>
                    <a:blip r:embed="rId135"/>
                    <a:stretch>
                      <a:fillRect/>
                    </a:stretch>
                  </pic:blipFill>
                  <pic:spPr bwMode="auto">
                    <a:xfrm>
                      <a:off x="0" y="0"/>
                      <a:ext cx="5334000" cy="3087729"/>
                    </a:xfrm>
                    <a:prstGeom prst="rect">
                      <a:avLst/>
                    </a:prstGeom>
                    <a:noFill/>
                    <a:ln w="9525">
                      <a:noFill/>
                      <a:headEnd/>
                      <a:tailEnd/>
                    </a:ln>
                  </pic:spPr>
                </pic:pic>
              </a:graphicData>
            </a:graphic>
          </wp:inline>
        </w:drawing>
      </w:r>
    </w:p>
    <w:bookmarkEnd w:id="138"/>
    <w:sectPr>
      <w:footerReference w:type="default" r:id="rId9"/>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cs="Times New Roman" w:eastAsia="Times New Roman"/>
      <w:sz w:val="24"/>
    </w:rPr>
  </w:style>
  <w:style w:styleId="BodyText" w:type="paragraph">
    <w:name w:val="Body Text"/>
    <w:basedOn w:val="Normal"/>
    <w:link w:val="BodyTextChar"/>
    <w:qFormat/>
    <w:pPr>
      <w:spacing w:after="180" w:before="180" w:line="480" w:lineRule="auto"/>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480" w:lineRule="auto"/>
    </w:pPr>
    <w:rPr>
      <w:rFonts w:ascii="Times New Roman" w:hAnsi="Times New Roman" w:cs="Times New Roman" w:eastAsia="Times New Roman"/>
      <w:sz w:val="24"/>
    </w:rPr>
  </w:style>
  <w:style w:customStyle="1" w:styleId="Compact" w:type="paragraph">
    <w:name w:val="Compact"/>
    <w:basedOn w:val="BodyText"/>
    <w:qFormat/>
    <w:pPr>
      <w:spacing w:after="36" w:before="36" w:line="480" w:lineRule="auto"/>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4"/>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4"/>
      <w:szCs w:val="20"/>
    </w:rPr>
  </w:style>
  <w:style w:styleId="Bibliography" w:type="paragraph">
    <w:name w:val="Bibliography"/>
    <w:basedOn w:val="Normal"/>
    <w:next w:val="Bibliography"/>
    <w:qFormat/>
    <w:pPr>
      <w:spacing w:line="480" w:lineRule="auto"/>
    </w:pPr>
    <w:rPr>
      <w:rFonts w:ascii="Times New Roman" w:hAnsi="Times New Roman" w:cs="Times New Roman" w:eastAsia="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cs="Times New Roman" w:eastAsia="Times New Roman"/>
      <w:b/>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b/>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b/>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b/>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b/>
      <w:i/>
      <w:iCs/>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b/>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b/>
      <w:i/>
      <w:iCs/>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b/>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sz w:val="24"/>
    </w:rPr>
  </w:style>
  <w:style w:styleId="FootnoteText" w:type="paragraph">
    <w:name w:val="Footnote Text"/>
    <w:basedOn w:val="Normal"/>
    <w:next w:val="FootnoteText"/>
    <w:uiPriority w:val="9"/>
    <w:unhideWhenUsed/>
    <w:qFormat/>
    <w:rPr>
      <w:rFonts w:ascii="Times New Roman" w:hAnsi="Times New Roman" w:cs="Times New Roman" w:eastAsia="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sz w:val="24"/>
    </w:rPr>
  </w:style>
  <w:style w:customStyle="1" w:styleId="Definition" w:type="paragraph">
    <w:name w:val="Definition"/>
    <w:basedOn w:val="Normal"/>
    <w:rPr>
      <w:rFonts w:ascii="Times New Roman" w:hAnsi="Times New Roman" w:cs="Times New Roman" w:eastAsia="Times New Roman"/>
      <w:sz w:val="24"/>
    </w:rPr>
  </w:style>
  <w:style w:styleId="Caption" w:type="paragraph">
    <w:name w:val="Caption"/>
    <w:basedOn w:val="Normal"/>
    <w:link w:val="BodyTextChar"/>
    <w:pPr>
      <w:spacing w:after="120" w:before="0"/>
    </w:pPr>
    <w:rPr>
      <w:rFonts w:ascii="Times New Roman" w:hAnsi="Times New Roman" w:cs="Times New Roman" w:eastAsia="Times New Roman"/>
      <w:i/>
      <w:sz w:val="24"/>
    </w:rPr>
  </w:style>
  <w:style w:customStyle="1" w:styleId="TableCaption" w:type="paragraph">
    <w:name w:val="Table Caption"/>
    <w:basedOn w:val="Caption"/>
    <w:pPr>
      <w:keepNext/>
    </w:pPr>
    <w:rPr>
      <w:rFonts w:ascii="Times New Roman" w:hAnsi="Times New Roman" w:cs="Times New Roman" w:eastAsia="Times New Roman"/>
      <w:sz w:val="24"/>
    </w:rPr>
  </w:style>
  <w:style w:customStyle="1" w:styleId="ImageCaption" w:type="paragraph">
    <w:name w:val="Image Caption"/>
    <w:basedOn w:val="Caption"/>
    <w:rPr>
      <w:rFonts w:ascii="Times New Roman" w:hAnsi="Times New Roman" w:cs="Times New Roman" w:eastAsia="Times New Roman"/>
      <w:sz w:val="24"/>
    </w:rPr>
  </w:style>
  <w:style w:customStyle="1" w:styleId="Figure" w:type="paragraph">
    <w:name w:val="Figure"/>
    <w:basedOn w:val="Normal"/>
    <w:rPr>
      <w:rFonts w:ascii="Times New Roman" w:hAnsi="Times New Roman" w:cs="Times New Roman" w:eastAsia="Times New Roman"/>
      <w:sz w:val="24"/>
    </w:rPr>
  </w:style>
  <w:style w:customStyle="1" w:styleId="CaptionedFigure" w:type="paragraph">
    <w:name w:val="Captioned Figure"/>
    <w:basedOn w:val="Figure"/>
    <w:pPr>
      <w:keepNext/>
    </w:pPr>
    <w:rPr>
      <w:rFonts w:ascii="Times New Roman" w:hAnsi="Times New Roman" w:cs="Times New Roman" w:eastAsia="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sz w:val="24"/>
    </w:rPr>
  </w:style>
  <w:style w:type="paragraph" w:customStyle="1" w:styleId="SourceCode">
    <w:name w:val="Source Code"/>
    <w:basedOn w:val="Normal"/>
    <w:link w:val="VerbatimChar"/>
    <w:pPr>
      <w:wordWrap w:val="off"/>
    </w:pPr>
    <w:rPr>
      <w:rFonts w:ascii="Times New Roman" w:hAnsi="Times New Roman" w:cs="Times New Roman" w:eastAsia="Times New Roman"/>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jpg"/><Relationship Id="rId135" Type="http://schemas.openxmlformats.org/officeDocument/2006/relationships/image" Target="media/rId135.png"/><Relationship Id="rId111" Type="http://schemas.openxmlformats.org/officeDocument/2006/relationships/image" Target="media/rId111.png"/><Relationship Id="rId114" Type="http://schemas.openxmlformats.org/officeDocument/2006/relationships/image" Target="media/rId114.jpg"/><Relationship Id="rId117" Type="http://schemas.openxmlformats.org/officeDocument/2006/relationships/image" Target="media/rId117.jpg"/><Relationship Id="rId120" Type="http://schemas.openxmlformats.org/officeDocument/2006/relationships/image" Target="media/rId120.jpg"/><Relationship Id="rId123" Type="http://schemas.openxmlformats.org/officeDocument/2006/relationships/image" Target="media/rId123.jpg"/><Relationship Id="rId126" Type="http://schemas.openxmlformats.org/officeDocument/2006/relationships/image" Target="media/rId126.jpg"/><Relationship Id="rId129" Type="http://schemas.openxmlformats.org/officeDocument/2006/relationships/image" Target="media/rId129.jpg"/><Relationship Id="rId132" Type="http://schemas.openxmlformats.org/officeDocument/2006/relationships/image" Target="media/rId132.png"/><Relationship Id="rId40" Type="http://schemas.openxmlformats.org/officeDocument/2006/relationships/hyperlink" Target="https://doi.org/10.1002/adfm.202527774" TargetMode="External"/><Relationship Id="rId45" Type="http://schemas.openxmlformats.org/officeDocument/2006/relationships/hyperlink" Target="https://doi.org/10.1007/978-0-387-47685-8" TargetMode="External"/><Relationship Id="rId102" Type="http://schemas.openxmlformats.org/officeDocument/2006/relationships/hyperlink" Target="https://doi.org/10.1007/s11661-012-1149-x" TargetMode="External"/><Relationship Id="rId67" Type="http://schemas.openxmlformats.org/officeDocument/2006/relationships/hyperlink" Target="https://doi.org/10.1007/s11661-024-07304-z" TargetMode="External"/><Relationship Id="rId63" Type="http://schemas.openxmlformats.org/officeDocument/2006/relationships/hyperlink" Target="https://doi.org/10.1007/s11837-022-05349-2" TargetMode="External"/><Relationship Id="rId59" Type="http://schemas.openxmlformats.org/officeDocument/2006/relationships/hyperlink" Target="https://doi.org/10.1007/s40830-017-0129-9" TargetMode="External"/><Relationship Id="rId57" Type="http://schemas.openxmlformats.org/officeDocument/2006/relationships/hyperlink" Target="https://doi.org/10.1007/s40830-019-00230-9" TargetMode="External"/><Relationship Id="rId69" Type="http://schemas.openxmlformats.org/officeDocument/2006/relationships/hyperlink" Target="https://doi.org/10.1007/s40830-024-00504-x" TargetMode="External"/><Relationship Id="rId73" Type="http://schemas.openxmlformats.org/officeDocument/2006/relationships/hyperlink" Target="https://doi.org/10.1007/s41365-024-01468-4" TargetMode="External"/><Relationship Id="rId71" Type="http://schemas.openxmlformats.org/officeDocument/2006/relationships/hyperlink" Target="https://doi.org/10.1007/s41365-024-01487-1" TargetMode="External"/><Relationship Id="rId47" Type="http://schemas.openxmlformats.org/officeDocument/2006/relationships/hyperlink" Target="https://doi.org/10.1016/S0921-5093(99)00294-4" TargetMode="External"/><Relationship Id="rId61" Type="http://schemas.openxmlformats.org/officeDocument/2006/relationships/hyperlink" Target="https://doi.org/10.1016/j.actamat.2017.03.043" TargetMode="External"/><Relationship Id="rId38" Type="http://schemas.openxmlformats.org/officeDocument/2006/relationships/hyperlink" Target="https://doi.org/10.1016/j.actamat.2022.117751" TargetMode="External"/><Relationship Id="rId42" Type="http://schemas.openxmlformats.org/officeDocument/2006/relationships/hyperlink" Target="https://doi.org/10.1016/j.actamat.2025.121307" TargetMode="External"/><Relationship Id="rId88" Type="http://schemas.openxmlformats.org/officeDocument/2006/relationships/hyperlink" Target="https://doi.org/10.1016/j.calphad.2016.11.006" TargetMode="External"/><Relationship Id="rId86" Type="http://schemas.openxmlformats.org/officeDocument/2006/relationships/hyperlink" Target="https://doi.org/10.1016/j.calphad.2023.102644" TargetMode="External"/><Relationship Id="rId51" Type="http://schemas.openxmlformats.org/officeDocument/2006/relationships/hyperlink" Target="https://doi.org/10.1016/j.conbuildmat.2014.04.032" TargetMode="External"/><Relationship Id="rId100" Type="http://schemas.openxmlformats.org/officeDocument/2006/relationships/hyperlink" Target="https://doi.org/10.1016/j.jallcom.2017.02.280" TargetMode="External"/><Relationship Id="rId49" Type="http://schemas.openxmlformats.org/officeDocument/2006/relationships/hyperlink" Target="https://doi.org/10.1016/j.matdes.2013.11.084" TargetMode="External"/><Relationship Id="rId65" Type="http://schemas.openxmlformats.org/officeDocument/2006/relationships/hyperlink" Target="https://doi.org/10.1016/j.matdes.2016.04.011" TargetMode="External"/><Relationship Id="rId55" Type="http://schemas.openxmlformats.org/officeDocument/2006/relationships/hyperlink" Target="https://doi.org/10.1016/j.scriptamat.2015.12.007" TargetMode="External"/><Relationship Id="rId80" Type="http://schemas.openxmlformats.org/officeDocument/2006/relationships/hyperlink" Target="https://doi.org/10.1017/CBO9780511804137" TargetMode="External"/><Relationship Id="rId94" Type="http://schemas.openxmlformats.org/officeDocument/2006/relationships/hyperlink" Target="https://doi.org/10.1038/s41467-019-10308-8" TargetMode="External"/><Relationship Id="rId32" Type="http://schemas.openxmlformats.org/officeDocument/2006/relationships/hyperlink" Target="https://doi.org/10.1038/s41586-023-06735-9" TargetMode="External"/><Relationship Id="rId78" Type="http://schemas.openxmlformats.org/officeDocument/2006/relationships/hyperlink" Target="https://doi.org/10.1063/1.364220" TargetMode="External"/><Relationship Id="rId97" Type="http://schemas.openxmlformats.org/officeDocument/2006/relationships/hyperlink" Target="https://doi.org/10.1063/1.4769375" TargetMode="External"/><Relationship Id="rId76" Type="http://schemas.openxmlformats.org/officeDocument/2006/relationships/hyperlink" Target="https://doi.org/10.1107/S0021889869006558" TargetMode="External"/><Relationship Id="rId92" Type="http://schemas.openxmlformats.org/officeDocument/2006/relationships/hyperlink" Target="https://doi.org/10.1126/science.1183169" TargetMode="External"/><Relationship Id="rId53" Type="http://schemas.openxmlformats.org/officeDocument/2006/relationships/hyperlink" Target="https://doi.org/10.1126/science.1202232" TargetMode="External"/><Relationship Id="rId36" Type="http://schemas.openxmlformats.org/officeDocument/2006/relationships/hyperlink" Target="https://doi.org/10.48550/arXiv.2506.12594" TargetMode="External"/><Relationship Id="rId34" Type="http://schemas.openxmlformats.org/officeDocument/2006/relationships/hyperlink" Target="https://doi.org/10.48550/arXiv.2507.06261" TargetMode="External"/><Relationship Id="rId82" Type="http://schemas.openxmlformats.org/officeDocument/2006/relationships/hyperlink" Target="https://doi.org/10.5334/jors.140" TargetMode="External"/><Relationship Id="rId84" Type="http://schemas.openxmlformats.org/officeDocument/2006/relationships/hyperlink" Target="https://github.com/pycalphad/binder/tree/develop/multicomponent-databases" TargetMode="External"/><Relationship Id="rId90" Type="http://schemas.openxmlformats.org/officeDocument/2006/relationships/hyperlink" Target="https://www.matcalc.at/index.php/databases/open-database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0" Type="http://schemas.openxmlformats.org/officeDocument/2006/relationships/hyperlink" Target="https://doi.org/10.1002/adfm.202527774" TargetMode="External"/><Relationship Id="rId45" Type="http://schemas.openxmlformats.org/officeDocument/2006/relationships/hyperlink" Target="https://doi.org/10.1007/978-0-387-47685-8" TargetMode="External"/><Relationship Id="rId102" Type="http://schemas.openxmlformats.org/officeDocument/2006/relationships/hyperlink" Target="https://doi.org/10.1007/s11661-012-1149-x" TargetMode="External"/><Relationship Id="rId67" Type="http://schemas.openxmlformats.org/officeDocument/2006/relationships/hyperlink" Target="https://doi.org/10.1007/s11661-024-07304-z" TargetMode="External"/><Relationship Id="rId63" Type="http://schemas.openxmlformats.org/officeDocument/2006/relationships/hyperlink" Target="https://doi.org/10.1007/s11837-022-05349-2" TargetMode="External"/><Relationship Id="rId59" Type="http://schemas.openxmlformats.org/officeDocument/2006/relationships/hyperlink" Target="https://doi.org/10.1007/s40830-017-0129-9" TargetMode="External"/><Relationship Id="rId57" Type="http://schemas.openxmlformats.org/officeDocument/2006/relationships/hyperlink" Target="https://doi.org/10.1007/s40830-019-00230-9" TargetMode="External"/><Relationship Id="rId69" Type="http://schemas.openxmlformats.org/officeDocument/2006/relationships/hyperlink" Target="https://doi.org/10.1007/s40830-024-00504-x" TargetMode="External"/><Relationship Id="rId73" Type="http://schemas.openxmlformats.org/officeDocument/2006/relationships/hyperlink" Target="https://doi.org/10.1007/s41365-024-01468-4" TargetMode="External"/><Relationship Id="rId71" Type="http://schemas.openxmlformats.org/officeDocument/2006/relationships/hyperlink" Target="https://doi.org/10.1007/s41365-024-01487-1" TargetMode="External"/><Relationship Id="rId47" Type="http://schemas.openxmlformats.org/officeDocument/2006/relationships/hyperlink" Target="https://doi.org/10.1016/S0921-5093(99)00294-4" TargetMode="External"/><Relationship Id="rId61" Type="http://schemas.openxmlformats.org/officeDocument/2006/relationships/hyperlink" Target="https://doi.org/10.1016/j.actamat.2017.03.043" TargetMode="External"/><Relationship Id="rId38" Type="http://schemas.openxmlformats.org/officeDocument/2006/relationships/hyperlink" Target="https://doi.org/10.1016/j.actamat.2022.117751" TargetMode="External"/><Relationship Id="rId42" Type="http://schemas.openxmlformats.org/officeDocument/2006/relationships/hyperlink" Target="https://doi.org/10.1016/j.actamat.2025.121307" TargetMode="External"/><Relationship Id="rId88" Type="http://schemas.openxmlformats.org/officeDocument/2006/relationships/hyperlink" Target="https://doi.org/10.1016/j.calphad.2016.11.006" TargetMode="External"/><Relationship Id="rId86" Type="http://schemas.openxmlformats.org/officeDocument/2006/relationships/hyperlink" Target="https://doi.org/10.1016/j.calphad.2023.102644" TargetMode="External"/><Relationship Id="rId51" Type="http://schemas.openxmlformats.org/officeDocument/2006/relationships/hyperlink" Target="https://doi.org/10.1016/j.conbuildmat.2014.04.032" TargetMode="External"/><Relationship Id="rId100" Type="http://schemas.openxmlformats.org/officeDocument/2006/relationships/hyperlink" Target="https://doi.org/10.1016/j.jallcom.2017.02.280" TargetMode="External"/><Relationship Id="rId49" Type="http://schemas.openxmlformats.org/officeDocument/2006/relationships/hyperlink" Target="https://doi.org/10.1016/j.matdes.2013.11.084" TargetMode="External"/><Relationship Id="rId65" Type="http://schemas.openxmlformats.org/officeDocument/2006/relationships/hyperlink" Target="https://doi.org/10.1016/j.matdes.2016.04.011" TargetMode="External"/><Relationship Id="rId55" Type="http://schemas.openxmlformats.org/officeDocument/2006/relationships/hyperlink" Target="https://doi.org/10.1016/j.scriptamat.2015.12.007" TargetMode="External"/><Relationship Id="rId80" Type="http://schemas.openxmlformats.org/officeDocument/2006/relationships/hyperlink" Target="https://doi.org/10.1017/CBO9780511804137" TargetMode="External"/><Relationship Id="rId94" Type="http://schemas.openxmlformats.org/officeDocument/2006/relationships/hyperlink" Target="https://doi.org/10.1038/s41467-019-10308-8" TargetMode="External"/><Relationship Id="rId32" Type="http://schemas.openxmlformats.org/officeDocument/2006/relationships/hyperlink" Target="https://doi.org/10.1038/s41586-023-06735-9" TargetMode="External"/><Relationship Id="rId78" Type="http://schemas.openxmlformats.org/officeDocument/2006/relationships/hyperlink" Target="https://doi.org/10.1063/1.364220" TargetMode="External"/><Relationship Id="rId97" Type="http://schemas.openxmlformats.org/officeDocument/2006/relationships/hyperlink" Target="https://doi.org/10.1063/1.4769375" TargetMode="External"/><Relationship Id="rId76" Type="http://schemas.openxmlformats.org/officeDocument/2006/relationships/hyperlink" Target="https://doi.org/10.1107/S0021889869006558" TargetMode="External"/><Relationship Id="rId92" Type="http://schemas.openxmlformats.org/officeDocument/2006/relationships/hyperlink" Target="https://doi.org/10.1126/science.1183169" TargetMode="External"/><Relationship Id="rId53" Type="http://schemas.openxmlformats.org/officeDocument/2006/relationships/hyperlink" Target="https://doi.org/10.1126/science.1202232" TargetMode="External"/><Relationship Id="rId36" Type="http://schemas.openxmlformats.org/officeDocument/2006/relationships/hyperlink" Target="https://doi.org/10.48550/arXiv.2506.12594" TargetMode="External"/><Relationship Id="rId34" Type="http://schemas.openxmlformats.org/officeDocument/2006/relationships/hyperlink" Target="https://doi.org/10.48550/arXiv.2507.06261" TargetMode="External"/><Relationship Id="rId82" Type="http://schemas.openxmlformats.org/officeDocument/2006/relationships/hyperlink" Target="https://doi.org/10.5334/jors.140" TargetMode="External"/><Relationship Id="rId84" Type="http://schemas.openxmlformats.org/officeDocument/2006/relationships/hyperlink" Target="https://github.com/pycalphad/binder/tree/develop/multicomponent-databases" TargetMode="External"/><Relationship Id="rId90" Type="http://schemas.openxmlformats.org/officeDocument/2006/relationships/hyperlink" Target="https://www.matcalc.at/index.php/databases/open-data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Absence of Super-elasticity in an LLM-Hypothesized Fe-Mn-Al-Ni-Si-C Alloy: Tensile, Synchrotron and CALPHAD Assessment</dc:title>
  <dc:creator/>
  <cp:keywords/>
  <dcterms:created xsi:type="dcterms:W3CDTF">2026-09-28T14:41:39Z</dcterms:created>
  <dcterms:modified xsi:type="dcterms:W3CDTF">2026-09-28T14:41:39Z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C:\Users\frank\fe-sma-paper\submissions\JMEP-2026-09\references-jmep.bib</vt:lpwstr>
  </property>
  <property fmtid="{D5CDD505-2E9C-101B-9397-08002B2CF9AE}" pid="3" name="csl">
    <vt:lpwstr>C:\Users\frank\fe-sma-paper\submissions\JMEP-2026-09\jmep.csl</vt:lpwstr>
  </property>
</Properties>
</file>