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September 28, 2026</w:t>
      </w:r>
    </w:p>
    <w:p>
      <w:pPr>
        <w:pStyle w:val="BodyText"/>
      </w:pPr>
      <w:r>
        <w:t xml:space="preserve">The Editor</w:t>
      </w:r>
      <w:r>
        <w:t xml:space="preserve"> </w:t>
      </w:r>
      <w:r>
        <w:t xml:space="preserve">Journal of Materials Engineering and Performance</w:t>
      </w:r>
      <w:r>
        <w:t xml:space="preserve"> </w:t>
      </w:r>
      <w:r>
        <w:t xml:space="preserve">ASM International / Springer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our manuscript,</w:t>
      </w:r>
      <w:r>
        <w:t xml:space="preserve"> </w:t>
      </w:r>
      <w:r>
        <w:rPr>
          <w:i/>
          <w:iCs/>
        </w:rPr>
        <w:t xml:space="preserve">Absence of Super-elasticity in an LLM-Hypothesized Fe-Mn-Al-Ni-Si-C</w:t>
      </w:r>
      <w:r>
        <w:rPr>
          <w:i/>
          <w:iCs/>
        </w:rPr>
        <w:t xml:space="preserve"> </w:t>
      </w:r>
      <w:r>
        <w:rPr>
          <w:i/>
          <w:iCs/>
        </w:rPr>
        <w:t xml:space="preserve">Alloy: Tensile, Synchrotron and CALPHAD Assessment</w:t>
      </w:r>
      <w:r>
        <w:t xml:space="preserve">, for consideration as a peer-reviewed paper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Journal of Materials Engineering and Performance</w:t>
      </w:r>
      <w:r>
        <w:t xml:space="preserve">.</w:t>
      </w:r>
    </w:p>
    <w:p>
      <w:pPr>
        <w:pStyle w:val="BodyText"/>
      </w:pPr>
      <w:r>
        <w:t xml:space="preserve">Large language model (LLM) research agents can now propose alloy compositions in minutes, but</w:t>
      </w:r>
      <w:r>
        <w:t xml:space="preserve"> </w:t>
      </w:r>
      <w:r>
        <w:t xml:space="preserve">very few of those proposals have been taken to a furnace. We melted, drew and heat-treated one</w:t>
      </w:r>
      <w:r>
        <w:t xml:space="preserve"> </w:t>
      </w:r>
      <w:r>
        <w:t xml:space="preserve">Fe-Mn-Al-Ni-Si-C shape memory alloy composition drawn from an LLM agent’s design report. We then</w:t>
      </w:r>
      <w:r>
        <w:t xml:space="preserve"> </w:t>
      </w:r>
      <w:r>
        <w:t xml:space="preserve">evaluated it against an Omori-type Fe-Mn-Al-Ni benchmark processed on the same route, using</w:t>
      </w:r>
      <w:r>
        <w:t xml:space="preserve"> </w:t>
      </w:r>
      <w:r>
        <w:t xml:space="preserve">cyclic tensile tests across a 600–1200 °C anneal series, a loading–unloading–heating test,</w:t>
      </w:r>
      <w:r>
        <w:t xml:space="preserve"> </w:t>
      </w:r>
      <w:r>
        <w:t xml:space="preserve">synchrotron diffraction with Rietveld refinement, optical and SEM/EDS metallography, and</w:t>
      </w:r>
      <w:r>
        <w:t xml:space="preserve"> </w:t>
      </w:r>
      <w:r>
        <w:t xml:space="preserve">equilibrium calculations in three independent thermodynamic databases.</w:t>
      </w:r>
    </w:p>
    <w:p>
      <w:pPr>
        <w:pStyle w:val="BodyText"/>
      </w:pPr>
      <w:r>
        <w:t xml:space="preserve">The alloy is strong (0.2 % proof stress 1908–519 MPa across the anneal series) but shows no</w:t>
      </w:r>
      <w:r>
        <w:t xml:space="preserve"> </w:t>
      </w:r>
      <w:r>
        <w:t xml:space="preserve">super-elastic or shape-memory recovery in any condition tested, while the benchmark does. The</w:t>
      </w:r>
      <w:r>
        <w:t xml:space="preserve"> </w:t>
      </w:r>
      <w:r>
        <w:t xml:space="preserve">manuscript keeps three kinds of evidence separate.</w:t>
      </w:r>
      <w:r>
        <w:t xml:space="preserve"> </w:t>
      </w:r>
      <w:r>
        <w:rPr>
          <w:b/>
          <w:bCs/>
        </w:rPr>
        <w:t xml:space="preserve">Measured:</w:t>
      </w:r>
      <w:r>
        <w:t xml:space="preserve"> </w:t>
      </w:r>
      <w:r>
        <w:t xml:space="preserve">the absence of recovery, and a</w:t>
      </w:r>
      <w:r>
        <w:t xml:space="preserve"> </w:t>
      </w:r>
      <w:r>
        <w:t xml:space="preserve">γ-majority duplex microstructure after the quench.</w:t>
      </w:r>
      <w:r>
        <w:t xml:space="preserve"> </w:t>
      </w:r>
      <w:r>
        <w:rPr>
          <w:b/>
          <w:bCs/>
        </w:rPr>
        <w:t xml:space="preserve">Calculated:</w:t>
      </w:r>
      <w:r>
        <w:t xml:space="preserve"> </w:t>
      </w:r>
      <w:r>
        <w:t xml:space="preserve">in all three databases the</w:t>
      </w:r>
      <w:r>
        <w:t xml:space="preserve"> </w:t>
      </w:r>
      <w:r>
        <w:t xml:space="preserve">composition has no single-phase α field in the solid state, and deleting its carbon opens one.</w:t>
      </w:r>
      <w:r>
        <w:t xml:space="preserve"> </w:t>
      </w:r>
      <w:r>
        <w:rPr>
          <w:b/>
          <w:bCs/>
        </w:rPr>
        <w:t xml:space="preserve">Open:</w:t>
      </w:r>
      <w:r>
        <w:t xml:space="preserve"> </w:t>
      </w:r>
      <w:r>
        <w:t xml:space="preserve">whether the γ excess forms at temperature or on cooling. The composition made lies</w:t>
      </w:r>
      <w:r>
        <w:t xml:space="preserve"> </w:t>
      </w:r>
      <w:r>
        <w:t xml:space="preserve">outside the agent’s proposed window in Mn and Al, and the paper says so where it is introduced.</w:t>
      </w:r>
      <w:r>
        <w:t xml:space="preserve"> </w:t>
      </w:r>
      <w:r>
        <w:t xml:space="preserve">The practical conclusion for materials engineers is a screening step that costs nothing in the</w:t>
      </w:r>
      <w:r>
        <w:t xml:space="preserve"> </w:t>
      </w:r>
      <w:r>
        <w:t xml:space="preserve">laboratory: check an LLM-proposed composition for competing-phase stability and interstitial</w:t>
      </w:r>
      <w:r>
        <w:t xml:space="preserve"> </w:t>
      </w:r>
      <w:r>
        <w:t xml:space="preserve">content before it is melted.</w:t>
      </w:r>
    </w:p>
    <w:p>
      <w:pPr>
        <w:pStyle w:val="BodyText"/>
      </w:pPr>
      <w:r>
        <w:t xml:space="preserve">The work fits the journal’s scope on testing and characterization and on the relationship</w:t>
      </w:r>
      <w:r>
        <w:t xml:space="preserve"> </w:t>
      </w:r>
      <w:r>
        <w:t xml:space="preserve">between processing and performance. The design report the composition was taken from is</w:t>
      </w:r>
      <w:r>
        <w:t xml:space="preserve"> </w:t>
      </w:r>
      <w:r>
        <w:t xml:space="preserve">supplied as Online Resource 1. A specimen-by-specimen register of every record behind the</w:t>
      </w:r>
      <w:r>
        <w:t xml:space="preserve"> </w:t>
      </w:r>
      <w:r>
        <w:t xml:space="preserve">figures and tables, together with the calculation settings, is supplied as Online Resource 2.</w:t>
      </w:r>
    </w:p>
    <w:p>
      <w:pPr>
        <w:pStyle w:val="BodyText"/>
      </w:pPr>
      <w:r>
        <w:t xml:space="preserve">This manuscript is original, has not been published, and is not under consideration elsewhere.</w:t>
      </w:r>
      <w:r>
        <w:t xml:space="preserve"> </w:t>
      </w:r>
      <w:r>
        <w:t xml:space="preserve">Preliminary results were presented as a poster at SMST 2026. All authors have approved the</w:t>
      </w:r>
      <w:r>
        <w:t xml:space="preserve"> </w:t>
      </w:r>
      <w:r>
        <w:t xml:space="preserve">submission.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Frank Y. Cai (corresponding author)</w:t>
      </w:r>
      <w:r>
        <w:t xml:space="preserve"> </w:t>
      </w:r>
      <w:r>
        <w:t xml:space="preserve">School of Engineering Technologies, Purdue University</w:t>
      </w:r>
      <w:r>
        <w:t xml:space="preserve"> </w:t>
      </w:r>
      <w:r>
        <w:t xml:space="preserve">West Lafayette, Indiana 47907, USA</w:t>
      </w:r>
      <w:r>
        <w:t xml:space="preserve"> </w:t>
      </w:r>
      <w:r>
        <w:t xml:space="preserve">cai485@purdue.edu</w:t>
      </w:r>
    </w:p>
    <w:p>
      <w:pPr>
        <w:pStyle w:val="BodyText"/>
      </w:pPr>
      <w:r>
        <w:t xml:space="preserve">On behalf of co-authors S. Cai (Fort Wayne Metals), X. Wang (Purdue University) and J. Yan</w:t>
      </w:r>
      <w:r>
        <w:t xml:space="preserve"> </w:t>
      </w:r>
      <w:r>
        <w:t xml:space="preserve">(Shanghai Synchrotron Radiation Facility)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2026-09-28T14:41:53Z</dcterms:created>
  <dcterms:modified xsi:type="dcterms:W3CDTF">2026-09-28T14:41:53Z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