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Resource 2 — Supplementary tables for: Absence of Super-elasticity in an LLM-Hypothesized Fe-Mn-Al-Ni-Si-C Alloy: Tensile, Synchrotron and CALPHAD Assessment</w:t>
      </w:r>
    </w:p>
    <w:p>
      <w:pPr>
        <w:pStyle w:val="FirstParagraph"/>
      </w:pPr>
      <w:r>
        <w:t xml:space="preserve">Frank Y. Cai, S. Cai, X. Wang, J. Yan</w:t>
      </w:r>
    </w:p>
    <w:p>
      <w:pPr>
        <w:pStyle w:val="BodyText"/>
      </w:pPr>
      <w:r>
        <w:t xml:space="preserve">Corresponding author: cai485@purdue.edu</w:t>
      </w:r>
    </w:p>
    <w:p>
      <w:pPr>
        <w:pStyle w:val="BodyText"/>
      </w:pPr>
      <w:r>
        <w:t xml:space="preserve">Table S1 lists every specimen behind the figures and tables of the article; Table S2 lists every thermodynamic calculation. Section (Sec.), figure and table numbers refer to the article.</w:t>
      </w:r>
    </w:p>
    <w:bookmarkStart w:id="9" w:name="table-s1.-specimen-and-record-register"/>
    <w:p>
      <w:pPr>
        <w:pStyle w:val="Heading2"/>
      </w:pPr>
      <w:r>
        <w:t xml:space="preserve">Table S1. Specimen and record register</w:t>
      </w:r>
    </w:p>
    <w:p>
      <w:pPr>
        <w:pStyle w:val="FirstParagraph"/>
      </w:pPr>
      <w:r>
        <w:t xml:space="preserve">Heats:</w:t>
      </w:r>
      <w:r>
        <w:t xml:space="preserve"> </w:t>
      </w:r>
      <w:r>
        <w:rPr>
          <w:b/>
          <w:bCs/>
        </w:rPr>
        <w:t xml:space="preserve">RD0697-6</w:t>
      </w:r>
      <w:r>
        <w:t xml:space="preserve"> </w:t>
      </w:r>
      <w:r>
        <w:t xml:space="preserve">= LLM-alloy;</w:t>
      </w:r>
      <w:r>
        <w:t xml:space="preserve"> </w:t>
      </w:r>
      <w:r>
        <w:rPr>
          <w:b/>
          <w:bCs/>
        </w:rPr>
        <w:t xml:space="preserve">RD0697-7</w:t>
      </w:r>
      <w:r>
        <w:t xml:space="preserve"> </w:t>
      </w:r>
      <w:r>
        <w:t xml:space="preserve">= benchmark alloy. Diameters are the values entered in the test record for that specimen (nominal wire size in brackets where it differs).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states what on the primary record ties the specimen to its alloy: a heat number printed per specimen, a composition label printed per specimen, or the heat number under which the whole report is filed. Tensile tests: room temperature, displacement control, strain = crosshead extension / gauge length without extensometry, stress from the recorded diameter (Sec. 2.4).</w:t>
      </w:r>
      <w:r>
        <w:t xml:space="preserve"> </w:t>
      </w:r>
      <w:r>
        <w:t xml:space="preserve">“Cyclic tension”</w:t>
      </w:r>
      <w:r>
        <w:t xml:space="preserve"> </w:t>
      </w:r>
      <w:r>
        <w:t xml:space="preserve">= loading in successive increments of nominally 1% strain with an unloading after each, up to ≈8–12% strain or earlier fracture, then loading to fracture, at a crosshead speed of 0.25 in min⁻¹ where the record states it (M2, M3, M6–M13). Unknown cells are marked</w:t>
      </w:r>
      <w:r>
        <w:t xml:space="preserve"> </w:t>
      </w:r>
      <w:r>
        <w:rPr>
          <w:i/>
          <w:iCs/>
        </w:rPr>
        <w:t xml:space="preserve">not recorded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 Chemistry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Material analyzed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finished 0.36 mm wire</w:t>
            </w:r>
          </w:p>
        </w:tc>
        <w:tc>
          <w:tcPr/>
          <w:p>
            <w:pPr>
              <w:pStyle w:val="Compact"/>
            </w:pPr>
            <w:r>
              <w:t xml:space="preserve">ICP-AES (Al, Fe, Mn, Ni, Si);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number (RD0697-6) on laboratory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as cast</w:t>
            </w:r>
          </w:p>
        </w:tc>
        <w:tc>
          <w:tcPr/>
          <w:p>
            <w:pPr>
              <w:pStyle w:val="Compact"/>
            </w:pPr>
            <w:r>
              <w:t xml:space="preserve">ICP-AES with residual-element scan, Fe by difference;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reference RD0697 (no suffix) and material designation Fe-Mn-Al-Ni on laboratory certificate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Mechanical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Form; measured diameter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Gauge length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not recorded per specimen</w:t>
            </w:r>
          </w:p>
        </w:tc>
        <w:tc>
          <w:tcPr/>
          <w:p>
            <w:pPr>
              <w:pStyle w:val="Compact"/>
            </w:pPr>
            <w:r>
              <w:t xml:space="preserve">as drawn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laboratory summary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plotted specimens 0.352–0.359 mm</w:t>
            </w:r>
          </w:p>
        </w:tc>
        <w:tc>
          <w:tcPr/>
          <w:p>
            <w:pPr>
              <w:pStyle w:val="Compact"/>
            </w:pPr>
            <w:r>
              <w:t xml:space="preserve">1 min (nominal) at 600, 700, 800, 900, 1000, 1100, 1200 °C; plotted specimens strand passes at 4 ft min⁻¹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 per condition (Table 2); 1 per panel (Fig. 2a–g)</w:t>
            </w:r>
          </w:p>
        </w:tc>
        <w:tc>
          <w:tcPr/>
          <w:p>
            <w:pPr>
              <w:pStyle w:val="Compact"/>
            </w:pPr>
            <w:r>
              <w:t xml:space="preserve">Table 2; Fig. 2a–g; Secs. 3.2, 4.3</w:t>
            </w:r>
          </w:p>
        </w:tc>
        <w:tc>
          <w:tcPr/>
          <w:p>
            <w:pPr>
              <w:pStyle w:val="Compact"/>
            </w:pPr>
            <w:r>
              <w:t xml:space="preserve">heat number on report file (plotted specimens); laboratory summary table (means)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0.348 mm</w:t>
            </w:r>
          </w:p>
        </w:tc>
        <w:tc>
          <w:tcPr/>
          <w:p>
            <w:pPr>
              <w:pStyle w:val="Compact"/>
            </w:pPr>
            <w:r>
              <w:t xml:space="preserve">1200 °C/1 min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2h; Secs. 3.2,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0.352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loading to 3%, unloading, heating to ≈200 °C, reloading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3a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wire; 0.536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as M4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3b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1200 °C/40 min static hold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10a;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0.325 mm</w:t>
            </w:r>
          </w:p>
        </w:tc>
        <w:tc>
          <w:tcPr/>
          <w:p>
            <w:pPr>
              <w:pStyle w:val="Compact"/>
            </w:pPr>
            <w:r>
              <w:t xml:space="preserve">1200 °C/80 min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10b;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1250 °C/5 min and 1250 °C/20 min static holds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 each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1.29 mm</w:t>
            </w:r>
          </w:p>
        </w:tc>
        <w:tc>
          <w:tcPr/>
          <w:p>
            <w:pPr>
              <w:pStyle w:val="Compact"/>
            </w:pPr>
            <w:r>
              <w:t xml:space="preserve">two-cycle 1200 ↔ 900 °C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Fig. 10c;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10d;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6.0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10e; Sec. 3.5</w:t>
            </w:r>
          </w:p>
        </w:tc>
        <w:tc>
          <w:tcPr/>
          <w:p>
            <w:pPr>
              <w:pStyle w:val="Compact"/>
            </w:pPr>
            <w:r>
              <w:t xml:space="preserve">heat number on report file; condition printed per specimen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quartz-tube cycle, 4 × 1200 °C/30 min, water quench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10f; Sec. 3.5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; hold count from the processing log); fracture strain taken from the raw load–extension export (last point above 20% of peak load, 0.261 in), the instrument summary’s 51.3% including post-fracture crosshead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1300 °C cyclic exposure (hold count not recorded)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(c) Metallography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 strand pass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1a</w:t>
            </w:r>
          </w:p>
        </w:tc>
        <w:tc>
          <w:tcPr/>
          <w:p>
            <w:pPr>
              <w:pStyle w:val="Compact"/>
            </w:pPr>
            <w:r>
              <w:t xml:space="preserve">alloy and condition in image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SEM, EDS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1b; Sec. 3.1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≈0.3 mm)</w:t>
            </w:r>
          </w:p>
        </w:tc>
        <w:tc>
          <w:tcPr/>
          <w:p>
            <w:pPr>
              <w:pStyle w:val="Compact"/>
            </w:pPr>
            <w:r>
              <w:t xml:space="preserve">1200 °C/40 min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1c</w:t>
            </w:r>
          </w:p>
        </w:tc>
        <w:tc>
          <w:tcPr/>
          <w:p>
            <w:pPr>
              <w:pStyle w:val="Compact"/>
            </w:pPr>
            <w:r>
              <w:t xml:space="preserve">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330 µm)</w:t>
            </w:r>
          </w:p>
        </w:tc>
        <w:tc>
          <w:tcPr/>
          <w:p>
            <w:pPr>
              <w:pStyle w:val="Compact"/>
            </w:pPr>
            <w:r>
              <w:t xml:space="preserve">quartz-tube cycle (Sec. 2.2)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1d</w:t>
            </w:r>
          </w:p>
        </w:tc>
        <w:tc>
          <w:tcPr/>
          <w:p>
            <w:pPr>
              <w:pStyle w:val="Compact"/>
            </w:pPr>
            <w:r>
              <w:t xml:space="preserve">composition label in image label; processing log; 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rod, ≈1 mm (section 868 µm)</w:t>
            </w:r>
          </w:p>
        </w:tc>
        <w:tc>
          <w:tcPr/>
          <w:p>
            <w:pPr>
              <w:pStyle w:val="Compact"/>
            </w:pPr>
            <w:r>
              <w:t xml:space="preserve">three-cycle 1200 ↔ 900 °C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alloy in image label; 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rod, ≈1.08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stereomicroscope, surface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condition in image label;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wire, 0.64 mm (section ≈570–630 µm)</w:t>
            </w:r>
          </w:p>
        </w:tc>
        <w:tc>
          <w:tcPr/>
          <w:p>
            <w:pPr>
              <w:pStyle w:val="Compact"/>
            </w:pPr>
            <w:r>
              <w:t xml:space="preserve">cyclic treatment of Sec. 2.2 (which of the two benchmark runs: not recorded)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3.5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in image label; section width against scale bar</w:t>
            </w:r>
          </w:p>
        </w:tc>
      </w:tr>
    </w:tbl>
    <w:p>
      <w:pPr>
        <w:pStyle w:val="BodyText"/>
      </w:pPr>
      <w:r>
        <w:rPr>
          <w:b/>
          <w:bCs/>
        </w:rPr>
        <w:t xml:space="preserve">(d) Synchrotron diffraction</w:t>
      </w:r>
      <w:r>
        <w:t xml:space="preserve"> </w:t>
      </w:r>
      <w:r>
        <w:t xml:space="preserve">(SSRF BL12SW, λ = 0.12587 Å, one or two detector frames per specimen)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Tensile record of the deformed specimen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</w:t>
            </w:r>
          </w:p>
        </w:tc>
        <w:tc>
          <w:tcPr/>
          <w:p>
            <w:pPr>
              <w:pStyle w:val="Compact"/>
            </w:pPr>
            <w:r>
              <w:t xml:space="preserve">Rietveld (MAUD 2.33, three-phase, E-WIMV)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4a, 5a, 6a, 7; Sec. 3.3</w:t>
            </w:r>
          </w:p>
        </w:tc>
        <w:tc>
          <w:tcPr/>
          <w:p>
            <w:pPr>
              <w:pStyle w:val="Compact"/>
            </w:pPr>
            <w:r>
              <w:t xml:space="preserve">beamline sample list (Sam5; frame NO7286)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10% strain</w:t>
            </w:r>
          </w:p>
        </w:tc>
        <w:tc>
          <w:tcPr/>
          <w:p>
            <w:pPr>
              <w:pStyle w:val="Compact"/>
            </w:pPr>
            <w:r>
              <w:t xml:space="preserve">Rietveld (as X1)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4b, 5b, 6a</w:t>
            </w:r>
          </w:p>
        </w:tc>
        <w:tc>
          <w:tcPr/>
          <w:p>
            <w:pPr>
              <w:pStyle w:val="Compact"/>
            </w:pPr>
            <w:r>
              <w:t xml:space="preserve">beamline sample list (Sam6; frame NO7280)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undeformed; two frames</w:t>
            </w:r>
          </w:p>
        </w:tc>
        <w:tc>
          <w:tcPr/>
          <w:p>
            <w:pPr>
              <w:pStyle w:val="Compact"/>
            </w:pPr>
            <w:r>
              <w:t xml:space="preserve">qualitative (Sec. 3.3)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4c,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(Sam7; frames NO7271, NO7274)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benchmark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8% strain; two frames</w:t>
            </w:r>
          </w:p>
        </w:tc>
        <w:tc>
          <w:tcPr/>
          <w:p>
            <w:pPr>
              <w:pStyle w:val="Compact"/>
            </w:pPr>
            <w:r>
              <w:t xml:space="preserve">qualitative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4d,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(Sam8; frames NO7265, NO7268)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rod, inferred from the schedule (Sec. 2.2)</w:t>
            </w:r>
          </w:p>
        </w:tc>
        <w:tc>
          <w:tcPr/>
          <w:p>
            <w:pPr>
              <w:pStyle w:val="Compact"/>
            </w:pPr>
            <w:r>
              <w:t xml:space="preserve">three-cycle 1200 ↔ 900 °C, final 1200 °C/1 h WQ; two frames</w:t>
            </w:r>
          </w:p>
        </w:tc>
        <w:tc>
          <w:tcPr/>
          <w:p>
            <w:pPr>
              <w:pStyle w:val="Compact"/>
            </w:pPr>
            <w:r>
              <w:t xml:space="preserve">qualitative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Fig. 8</w:t>
            </w:r>
          </w:p>
        </w:tc>
        <w:tc>
          <w:tcPr/>
          <w:p>
            <w:pPr>
              <w:pStyle w:val="Compact"/>
            </w:pPr>
            <w:r>
              <w:t xml:space="preserve">beamline sample list (Sam1,</w:t>
            </w:r>
            <w:r>
              <w:t xml:space="preserve"> </w:t>
            </w:r>
            <w:r>
              <w:t xml:space="preserve">“3-cycle AGG, 1200C/1h WQ”</w:t>
            </w:r>
            <w:r>
              <w:t xml:space="preserve">; frames NO7325, NO7328)</w:t>
            </w:r>
          </w:p>
        </w:tc>
      </w:tr>
    </w:tbl>
    <w:bookmarkEnd w:id="9"/>
    <w:bookmarkStart w:id="10" w:name="table-s2.-calculation-register"/>
    <w:p>
      <w:pPr>
        <w:pStyle w:val="Heading2"/>
      </w:pPr>
      <w:r>
        <w:t xml:space="preserve">Table S2. Calculation register</w:t>
      </w:r>
    </w:p>
    <w:p>
      <w:pPr>
        <w:pStyle w:val="FirstParagraph"/>
      </w:pPr>
      <w:r>
        <w:t xml:space="preserve">All calculations: pycalphad 0.11.2, 1 atm, liquid phase included, databases as distributed in the pycalphad open multicomponent-database collection. Elements a database does not carry were omitted and the remainder renormalized (Sec. 2.6).</w:t>
      </w:r>
      <w:r>
        <w:t xml:space="preserve"> </w:t>
      </w:r>
      <w:r>
        <w:t xml:space="preserve">“pdens”</w:t>
      </w:r>
      <w:r>
        <w:t xml:space="preserve"> </w:t>
      </w:r>
      <w:r>
        <w:t xml:space="preserve">is pycalphad’s starting-grid density in points per degree of freedom. Starting grids were pdens 500 (mpea-02b, PrecHiMn-04) or 2000 (mc_fe). In the high-temperature bands of the step diagrams (mpea-02b: benchmark from 1300 °C, LLM-alloy from 1250 °C, C-free LLM-alloy from 1350 °C; PrecHiMn-04: LLM-alloy from 1150 °C, C-free LLM-alloy from 1280 °C; all to 1400 °C) the lowest-Gibbs-energy state across density ladders spanning pdens 300–4000 was retained. The Ni scans (K4, K5) and A2-window runs (K6, K7) were not arbitrated.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Database (elements)</w:t>
            </w:r>
          </w:p>
        </w:tc>
        <w:tc>
          <w:tcPr/>
          <w:p>
            <w:pPr>
              <w:pStyle w:val="Compact"/>
            </w:pPr>
            <w:r>
              <w:t xml:space="preserve">Compositions (at%, unless stated)</w:t>
            </w:r>
          </w:p>
        </w:tc>
        <w:tc>
          <w:tcPr/>
          <w:p>
            <w:pPr>
              <w:pStyle w:val="Compac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</w:pPr>
            <w:r>
              <w:t xml:space="preserve">pdens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benchmark Fe–34.1Mn–15.2Al–7.8Ni–0.04C; LLM Fe–29.8Mn–11.9Al–4.2Ni–0.45C;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Fig. 9; 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PrecHiMn-04 (Al, C, Fe, Mn, Si)</w:t>
            </w:r>
          </w:p>
        </w:tc>
        <w:tc>
          <w:tcPr/>
          <w:p>
            <w:pPr>
              <w:pStyle w:val="Compact"/>
            </w:pPr>
            <w:r>
              <w:t xml:space="preserve">LLM Fe–29.8Mn–11.9Al–2.04Si–0.45C;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P, Si)</w:t>
            </w:r>
          </w:p>
        </w:tc>
        <w:tc>
          <w:tcPr/>
          <w:p>
            <w:pPr>
              <w:pStyle w:val="Compact"/>
            </w:pPr>
            <w:r>
              <w:t xml:space="preserve">benchmark Fe–34.1Mn–15.2Al–7.8Ni–0.10P–0.04C–0.02Si; LLM Fe–29.8Mn–11.9Al–4.2Ni–2.04Si–0.45C;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Tables 3, 4;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Ni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LLM with Ni 4.2 → 7.8 at% in 0.4 at% steps, Fe balance, C at 0.45 at% and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°C; 400–950 °C, 25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Secs. 3.4, 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Ni scan, endpoints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Ni 4.2 and 7.8 at%, with and without C</w:t>
            </w:r>
          </w:p>
        </w:tc>
        <w:tc>
          <w:tcPr/>
          <w:p>
            <w:pPr>
              <w:pStyle w:val="Compact"/>
            </w:pPr>
            <w:r>
              <w:t xml:space="preserve">as K4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A2-window points and Al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Ni; Si omitted)</w:t>
            </w:r>
          </w:p>
        </w:tc>
        <w:tc>
          <w:tcPr/>
          <w:p>
            <w:pPr>
              <w:pStyle w:val="Compact"/>
            </w:pPr>
            <w:r>
              <w:t xml:space="preserve">wt%: measured and nominal melt; A2 midpoint Fe–25Mn–10Al–4.5Ni–2.5Si–0.2C; ferritic corner Mn 20, Al 12, Si 4, Ni 6, C 0.1; austenitic corner Mn 30, Al 8, Si 1, Ni 3, C 0.3; Al 6.4 → 12.0 wt% in 0.7 wt% steps on the nominal melt composition. Each point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Secs. 3.4,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A2-window 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the named points of K6 (not the Al scan),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Secs. 3.4, 5</w:t>
            </w:r>
          </w:p>
        </w:tc>
      </w:tr>
    </w:tbl>
    <w:p>
      <w:pPr>
        <w:pStyle w:val="BodyText"/>
      </w:pPr>
      <w:r>
        <w:t xml:space="preserve">Phases entered: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mpea-02b:</w:t>
      </w:r>
      <w:r>
        <w:t xml:space="preserve"> </w:t>
      </w:r>
      <w:r>
        <w:t xml:space="preserve">LIQUID, B2_BCC (ordered partition of A2_BCC), A1_FCC, KAPPA_E21, CEMENTITE_D011, M23C6_D84, M7C3_D101, M5C2, GRAPHITE_A9, CBCC_A12, CUB_A13, HCP_A3, SIGMA_D8B, AL8FE5_D82, AL8MN5_D810, AL13FE4, AL5FE2, AL2FE, AL3NI2_D513, AL3NI_D011, AL3NI5, AL4NI3, AL71FE5NI24, AL11MN4_HT, AL11MN4_LT, AL12MN, AL6MN_D2H, AL4MN_MU, AL4MN_LAMBDA.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PrecHiMn-04:</w:t>
      </w:r>
      <w:r>
        <w:t xml:space="preserve"> </w:t>
      </w:r>
      <w:r>
        <w:t xml:space="preserve">LIQUID, BCC_4SL (A2/B2/D0₃), A1_FCC, KAPPA_E21, CEMENTITE_D011, M23C6_D84, M7C3_D101, M5C2, GRAPHITE_A9, CBCC_A12, CUB_A13, HCP_A3, AL8FE5_D82, AL8MN5_D810, AL13FE4, AL5FE2, AL2FE, AL12MN, AL6MN_D2H, AL11MN4_HT, AL11MN4_LT, FE2SI, FESI2_H, FESI2_L, M3SI, M5SI3_D88, FE8SI2C, SIGMA_D8B.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mc_fe v2.059:</w:t>
      </w:r>
      <w:r>
        <w:t xml:space="preserve"> </w:t>
      </w:r>
      <w:r>
        <w:t xml:space="preserve">LIQUID, BCC_A2, BCC_B2, FCC_A1, K_CARB (κ), CEMENTITE, M23C6, M7C3, KSI_CARBIDE, M5C2, GRAPHITE, BETA_MN, ALPHA_MN, HCP_A3, G_PHASE; M2P and M3P in K3 only.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Resource 2 — Supplementary tables for: Absence of Super-elasticity in an LLM-Hypothesized Fe-Mn-Al-Ni-Si-C Alloy: Tensile, Synchrotron and CALPHAD Assessment</dc:title>
  <dc:creator/>
  <cp:keywords/>
  <dcterms:created xsi:type="dcterms:W3CDTF">2026-09-28T14:38:35Z</dcterms:created>
  <dcterms:modified xsi:type="dcterms:W3CDTF">2026-09-28T14:38:35Z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