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sponse-to-reviewer-1"/>
    <w:p>
      <w:pPr>
        <w:pStyle w:val="Heading1"/>
      </w:pPr>
      <w:r>
        <w:t xml:space="preserve">Response to Reviewer 1</w:t>
      </w:r>
    </w:p>
    <w:p>
      <w:pPr>
        <w:pStyle w:val="FirstParagraph"/>
      </w:pPr>
      <w:r>
        <w:rPr>
          <w:b/>
          <w:bCs/>
        </w:rPr>
        <w:t xml:space="preserve">Manuscript:</w:t>
      </w:r>
      <w:r>
        <w:t xml:space="preserve"> </w:t>
      </w:r>
      <w:r>
        <w:t xml:space="preserve">JMRT-D-26-06169, revised title</w:t>
      </w:r>
      <w:r>
        <w:t xml:space="preserve"> </w:t>
      </w:r>
      <w:r>
        <w:rPr>
          <w:i/>
          <w:iCs/>
        </w:rPr>
        <w:t xml:space="preserve">Experimental Validation of an LLM-Hypothesized Fe-Mn-Al-Ni-Si-C Alloy: Phase Stability Governs the Absence of Super-elasticity</w:t>
      </w:r>
      <w:r>
        <w:t xml:space="preserve"> </w:t>
      </w:r>
      <w:r>
        <w:t xml:space="preserve">(submitted as</w:t>
      </w:r>
      <w:r>
        <w:t xml:space="preserve"> </w:t>
      </w:r>
      <w:r>
        <w:rPr>
          <w:i/>
          <w:iCs/>
        </w:rPr>
        <w:t xml:space="preserve">Mechanical Responses of an AI-Hypothesized Super-elastic Fe-Mn-Al-Ni-Si-C Alloy</w:t>
      </w:r>
      <w:r>
        <w:t xml:space="preserve">)</w:t>
      </w:r>
    </w:p>
    <w:p>
      <w:pPr>
        <w:pStyle w:val="BodyText"/>
      </w:pPr>
      <w:r>
        <w:t xml:space="preserve">We thank the Reviewer for a careful and constructive reading, and in particular for identifying the two changes that most improved this manuscript: the retrospective CALPHAD analysis (comment 2) and the promotion of the abnormal-grain-growth result to a full section with figures (comment 4). Both are now central to the revision.</w:t>
      </w:r>
    </w:p>
    <w:p>
      <w:pPr>
        <w:pStyle w:val="BodyText"/>
      </w:pPr>
      <w:r>
        <w:t xml:space="preserve">Section and figure numbers below refer to the revised manuscript unless stated otherwise. The revision renames the alloys (comment 5), adds two Methods subsections (2.6, thermodynamic calculations, and an expanded 2.1), two Results sections (3.4, equilibrium phase stability; 3.5, response to the abnormal-grain-growth treatment), and four figures: Fig. 7 (inverse pole figures), Fig. 8 (post-AGG diffraction), Fig. 9 (equilibrium step diagrams) and Fig. 10 (post-AGG microstructures). The Discussion sections have renumbered accordingly: the AI-implications discussion the Reviewer cites as Section 4.3 is now Section 4.4.</w:t>
      </w:r>
    </w:p>
    <w:p>
      <w:r>
        <w:pict>
          <v:rect style="width:0;height:1.5pt" o:hralign="center" o:hrstd="t" o:hr="t"/>
        </w:pict>
      </w:r>
    </w:p>
    <w:p>
      <w:pPr>
        <w:pStyle w:val="FirstParagraph"/>
      </w:pPr>
      <w:r>
        <w:rPr>
          <w:b/>
          <w:bCs/>
        </w:rPr>
        <w:t xml:space="preserve">Comment 1.</w:t>
      </w:r>
      <w:r>
        <w:t xml:space="preserve"> </w:t>
      </w:r>
      <w:r>
        <w:rPr>
          <w:i/>
          <w:iCs/>
        </w:rPr>
        <w:t xml:space="preserve">The AI-designed alloy differs from the benchmark Omori alloy in multiple elemental concentrations simultaneously (Mn, Al, Ni, Si, and C are all varied). The authors attribute the failure of the AI-hypothesized composition primarily to its elevated carbon content and its destabilizing effect on the BCC parent phase. However, because this is a multi-variable compositional change, the specific role of carbon cannot be isolated. Without a designed control experiment—such as an AI-designed alloy variant without the 1000 ppm C addition—the assertion that</w:t>
      </w:r>
      <w:r>
        <w:rPr>
          <w:i/>
          <w:iCs/>
        </w:rPr>
        <w:t xml:space="preserve"> </w:t>
      </w:r>
      <w:r>
        <w:rPr>
          <w:i/>
          <w:iCs/>
        </w:rPr>
        <w:t xml:space="preserve">“carbon is the main culprit”</w:t>
      </w:r>
      <w:r>
        <w:rPr>
          <w:i/>
          <w:iCs/>
        </w:rPr>
        <w:t xml:space="preserve"> </w:t>
      </w:r>
      <w:r>
        <w:rPr>
          <w:i/>
          <w:iCs/>
        </w:rPr>
        <w:t xml:space="preserve">(as stated in the abstract and Section 4.1) remains speculative and insufficiently supported. The authors should either provide such a control or substantially temper their causal attribution, reframing the conclusion as a combined effect of the entire compositional modification.</w:t>
      </w:r>
    </w:p>
    <w:p>
      <w:pPr>
        <w:pStyle w:val="BodyText"/>
      </w:pPr>
      <w:r>
        <w:rPr>
          <w:b/>
          <w:bCs/>
        </w:rPr>
        <w:t xml:space="preserve">Response.</w:t>
      </w:r>
      <w:r>
        <w:t xml:space="preserve"> </w:t>
      </w:r>
      <w:r>
        <w:t xml:space="preserve">We agree that the submitted manuscript asserted a causal role for carbon that a two-heat comparison cannot support, and the revision does both of the things the Reviewer asks: it supplies a control, and it tempers the claim to exactly what that control establishes.</w:t>
      </w:r>
    </w:p>
    <w:p>
      <w:pPr>
        <w:pStyle w:val="BodyText"/>
      </w:pPr>
      <w:r>
        <w:t xml:space="preserve">The control is the one the Reviewer describes — the alloy without its carbon addition — performed in silico rather than in the furnace. Section 2.6 defines a virtual composition consisting of the</w:t>
      </w:r>
      <w:r>
        <w:t xml:space="preserve"> </w:t>
      </w:r>
      <w:r>
        <w:rPr>
          <w:i/>
          <w:iCs/>
        </w:rPr>
        <w:t xml:space="preserve">measured</w:t>
      </w:r>
      <w:r>
        <w:t xml:space="preserve"> </w:t>
      </w:r>
      <w:r>
        <w:t xml:space="preserve">LLM-alloy chemistry with carbon deleted and every other element held at its measured value, and Section 3.4 evaluates it alongside the two real alloys in three independently assessed thermodynamic databases (mpea-02b, PrecHiMn-04, mc_fe). This construction changes one variable at a time, which no pair of physically cast heats can do. The result is reported in Table 3 and reproduces across all three databases: with carbon present, the LLM-alloy is a two-phase α + γ mixture at the 1200 °C solution-treatment temperature and its single-phase α field does not open until ≈1340 °C, above both the oxidation limit of the process and the ≈1240 °C incipient-melting temperature returned by mc_fe; with carbon deleted, the field opens at ≈1150 °C and the alloy is 100% α at 1200 °C — the same single-phase state the benchmark reaches there. The calculation is validated against the benchmark alloy, for which it independently reproduces the single-phase α field at 1200 °C and the ≈20% ordered bcc observed in Fig. 4c, neither of which was fitted (Sec. 3.4).</w:t>
      </w:r>
    </w:p>
    <w:p>
      <w:pPr>
        <w:pStyle w:val="BodyText"/>
      </w:pPr>
      <w:r>
        <w:t xml:space="preserve">Because the Reviewer’s parallel concern about nickel is equally fair (it is raised explicitly by another comment we received), Section 3.4 also reports a nickel scan from 4.2 to 7.8 at% with all other elements held at measured values: with carbon present the α solvus does not move at all across the entire interval, so restoring the benchmark’s own nickel content would not have opened the solution-treatment window by a single degree. Nickel instead controls how much ordered bcc the alloy can form (5.5–13.9% at 700 °C across the same interval). The two elements act on different parts of the problem and are not competing explanations.</w:t>
      </w:r>
    </w:p>
    <w:p>
      <w:pPr>
        <w:pStyle w:val="BodyText"/>
      </w:pPr>
      <w:r>
        <w:t xml:space="preserve">The causal claim has been tempered accordingly, in the abstract, Section 4.1, Section 4.2 and the Conclusions. The revision does not claim that carbon caused the failure in general; Section 4.2 states the narrower, defensible form — carbon closes the single-phase α field at the solution-treatment temperature, and without that field the alloy cannot be brought into the parent state that super-elasticity requires, whatever the other elements do elsewhere. It also states the limits explicitly: over roughly 850–1020 °C the carbon-free control is fully austenitic too, so the lower Al and Ni contents do move the α/γ boundary independently of carbon; and a calculated control is not a substitute for the experiment it stands in for. The carbon-free heat the Reviewer describes is named in Sections 4.2 and 4.4 as the direct experimental test, with the calculation credited only with reducing that test from an open compositional search to a single well-specified heat.</w:t>
      </w:r>
    </w:p>
    <w:p>
      <w:pPr>
        <w:pStyle w:val="BodyText"/>
      </w:pPr>
      <w:r>
        <w:rPr>
          <w:b/>
          <w:bCs/>
        </w:rPr>
        <w:t xml:space="preserve">Comment 2.</w:t>
      </w:r>
      <w:r>
        <w:t xml:space="preserve"> </w:t>
      </w:r>
      <w:r>
        <w:rPr>
          <w:i/>
          <w:iCs/>
        </w:rPr>
        <w:t xml:space="preserve">The discussion of why the AI model failed (Section 4.3) is descriptive rather than diagnostic. The authors note that the model relied on thermodynamic and literature correlations, but they do not examine the model’s specific reasoning pathway that led to the proposed composition. Did the model predict a BCC single-phase microstructure? Did it account for the formation of the D03 Fe3Al phase? A retrospective analysis using CALPHAD thermodynamic calculations (even a simple equilibrium phase diagram calculation for both alloys) would add significant quantitative rigor to the claim that the AI-designed alloy has insufficient chemical driving force for stress-induced transformation. Without such analysis, the</w:t>
      </w:r>
      <w:r>
        <w:rPr>
          <w:i/>
          <w:iCs/>
        </w:rPr>
        <w:t xml:space="preserve"> </w:t>
      </w:r>
      <w:r>
        <w:rPr>
          <w:i/>
          <w:iCs/>
        </w:rPr>
        <w:t xml:space="preserve">“lessons learned”</w:t>
      </w:r>
      <w:r>
        <w:rPr>
          <w:i/>
          <w:iCs/>
        </w:rPr>
        <w:t xml:space="preserve"> </w:t>
      </w:r>
      <w:r>
        <w:rPr>
          <w:i/>
          <w:iCs/>
        </w:rPr>
        <w:t xml:space="preserve">for AI-guided design remain vague.</w:t>
      </w:r>
    </w:p>
    <w:p>
      <w:pPr>
        <w:pStyle w:val="BodyText"/>
      </w:pPr>
      <w:r>
        <w:rPr>
          <w:b/>
          <w:bCs/>
        </w:rPr>
        <w:t xml:space="preserve">Response.</w:t>
      </w:r>
      <w:r>
        <w:t xml:space="preserve"> </w:t>
      </w:r>
      <w:r>
        <w:t xml:space="preserve">This comment set the agenda for the revision, and we have done both of the things it asks.</w:t>
      </w:r>
    </w:p>
    <w:p>
      <w:pPr>
        <w:pStyle w:val="BodyText"/>
      </w:pPr>
      <w:r>
        <w:t xml:space="preserve">First, the CALPHAD analysis. New Sections 2.6 and 3.4, Fig. 9 and Table 3 present equilibrium step diagrams (400–1400 °C) for both alloys as cast, computed from the measured ICP-AES chemistries in three independently assessed databases, with only their points of agreement carried into the conclusions. The analysis in fact sharpened the paper’s diagnosis in the direction the Reviewer’s wording anticipates: the problem is not that the LLM-alloy has a BCC parent with</w:t>
      </w:r>
      <w:r>
        <w:t xml:space="preserve"> </w:t>
      </w:r>
      <w:r>
        <w:rPr>
          <w:i/>
          <w:iCs/>
        </w:rPr>
        <w:t xml:space="preserve">insufficient driving force</w:t>
      </w:r>
      <w:r>
        <w:t xml:space="preserve">, but that no accessible heat treatment produces that parent at all. The benchmark solution-treats to single-phase α at 1200 °C and orders on cooling, exactly as its processing route assumes; the LLM-alloy is duplex at 1200 °C, reaches single-phase α only at ≈1340 °C — above both its oxidation limit and its calculated incipient-melting temperature — and has no temperature at which it can be solution-treated to α and then aged to coherent precipitates within that α (Secs. 3.4, 4.1). The calculations are validated against the benchmark, for which they reproduce the observed single-phase field and the ≈20% ordered bcc without any fitting.</w:t>
      </w:r>
    </w:p>
    <w:p>
      <w:pPr>
        <w:pStyle w:val="BodyText"/>
      </w:pPr>
      <w:r>
        <w:t xml:space="preserve">Second, the model’s reasoning pathway. The agent’s full 41-page report survives and is now supplied as Supplementary Material (Sec. 2.1), so the Reviewer’s two questions are answered from the document rather than from recollection (Sec. 4.1): (i) Yes — the report specified a BCC parent phase carrying coherent 5–15 nm β precipitates of Ni(Al,Si) type and predicted 5–8% recoverable strain at 400–700 MPa. But it made no prediction of phase fractions, calculated no phase diagram, and identified no solution-treatment window: it named the microstructure it wanted without establishing that the composition could produce it. (ii) No — D0₃ and Fe₃Al occur nowhere in the report. Notably, this is not a general blind spot for ordered Fe-Al chemistry: the report discusses κ-carbide at length and builds one of its six candidate families explicitly on κ-(Fe,Mn,Cr)₃AlC at 5–12 wt% Al, a range that brackets the 6.4 wt% eventually melted. The ordering chemistry was present in the report’s reasoning but attached to a different candidate and not carried across to the one that was made — a failure of transfer rather than of knowledge, which we believe is both a more tractable problem and a more specific caution.</w:t>
      </w:r>
    </w:p>
    <w:p>
      <w:pPr>
        <w:pStyle w:val="BodyText"/>
      </w:pPr>
      <w:r>
        <w:t xml:space="preserve">The</w:t>
      </w:r>
      <w:r>
        <w:t xml:space="preserve"> </w:t>
      </w:r>
      <w:r>
        <w:t xml:space="preserve">“lessons learned”</w:t>
      </w:r>
      <w:r>
        <w:t xml:space="preserve"> </w:t>
      </w:r>
      <w:r>
        <w:t xml:space="preserve">(now Sec. 4.4) have been rewritten around a concrete finding these two analyses produced together: the report’s own recommendations call for CALPHAD screening — the only occurrence of CALPHAD in its forty-one pages is a recommendation for future work, not a calculation performed. The agent specified a parent phase it had not shown to be attainable and, in the same document, correctly identified the calculation that would have shown it. The revised lesson is therefore specific rather than vague: the useful distinction is not between AI-assisted and conventional design but between workflows that terminate in a verified calculation and those that terminate in a plausible narrative, and the screening step that would have caught this composition costs minutes with openly available databases.</w:t>
      </w:r>
    </w:p>
    <w:p>
      <w:pPr>
        <w:pStyle w:val="BodyText"/>
      </w:pPr>
      <w:r>
        <w:rPr>
          <w:b/>
          <w:bCs/>
        </w:rPr>
        <w:t xml:space="preserve">Comment 3.</w:t>
      </w:r>
      <w:r>
        <w:t xml:space="preserve"> </w:t>
      </w:r>
      <w:r>
        <w:rPr>
          <w:i/>
          <w:iCs/>
        </w:rPr>
        <w:t xml:space="preserve">The microstructural interpretation of the AI-designed alloy’s deformation mechanisms lacks mechanistic depth. The authors assert that the absence of super-elasticity is due to</w:t>
      </w:r>
      <w:r>
        <w:rPr>
          <w:i/>
          <w:iCs/>
        </w:rPr>
        <w:t xml:space="preserve"> </w:t>
      </w:r>
      <w:r>
        <w:rPr>
          <w:i/>
          <w:iCs/>
        </w:rPr>
        <w:t xml:space="preserve">“irreversible dislocation slip”</w:t>
      </w:r>
      <w:r>
        <w:rPr>
          <w:i/>
          <w:iCs/>
        </w:rPr>
        <w:t xml:space="preserve"> </w:t>
      </w:r>
      <w:r>
        <w:rPr>
          <w:i/>
          <w:iCs/>
        </w:rPr>
        <w:t xml:space="preserve">rather than phase transformation, but they do not explain why this duplex FCC/BCC structure (62% γ, 34% α) preferentially deforms by slip. Is it the morphology of the two phases (e.g., lamellar or blocky) that constrains transformation? Or does the D03 Fe3Al phase pin dislocations in a way that suppresses the martensitic start stress? The authors should provide a more detailed mechanistic rationale linking the observed two-phase microstructure to the suppression of the transformation pathway.</w:t>
      </w:r>
    </w:p>
    <w:p>
      <w:pPr>
        <w:pStyle w:val="BodyText"/>
      </w:pPr>
      <w:r>
        <w:rPr>
          <w:b/>
          <w:bCs/>
        </w:rPr>
        <w:t xml:space="preserve">Response.</w:t>
      </w:r>
      <w:r>
        <w:t xml:space="preserve"> </w:t>
      </w:r>
      <w:r>
        <w:t xml:space="preserve">Section 4.1 has been substantially rewritten to supply this rationale, and the equilibrium calculations changed what the honest answer is. The chain now runs as follows.</w:t>
      </w:r>
    </w:p>
    <w:p>
      <w:pPr>
        <w:numPr>
          <w:ilvl w:val="0"/>
          <w:numId w:val="1001"/>
        </w:numPr>
      </w:pPr>
      <w:r>
        <w:rPr>
          <w:i/>
          <w:iCs/>
        </w:rPr>
        <w:t xml:space="preserve">The parent phase is largely missing, not merely reluctant.</w:t>
      </w:r>
      <w:r>
        <w:t xml:space="preserve"> </w:t>
      </w:r>
      <w:r>
        <w:t xml:space="preserve">In this alloy family the parent is BCC α and the martensite is FCC γ — the reverse of the carbon-steel convention, which the revision now states explicitly in Sec. 3.3 — so a structure that is ≈62% γ is one in which most of the material is already in the product phase. The calculations of Sec. 3.4 show why: no accessible temperature produces single-phase α in this composition, so there is no treatment from which a majority-α parent could be retained.</w:t>
      </w:r>
    </w:p>
    <w:p>
      <w:pPr>
        <w:numPr>
          <w:ilvl w:val="0"/>
          <w:numId w:val="1001"/>
        </w:numPr>
      </w:pPr>
      <w:r>
        <w:rPr>
          <w:i/>
          <w:iCs/>
        </w:rPr>
        <w:t xml:space="preserve">The observed γ excess points to a transformation that has already run.</w:t>
      </w:r>
      <w:r>
        <w:t xml:space="preserve"> </w:t>
      </w:r>
      <w:r>
        <w:t xml:space="preserve">The calculations place α in the majority at 1200 °C (62–71%), while the refinement of the quenched wire places γ in the majority (≈62%). Section 4.1 now discusses this discrepancy plainly: a partial α → γ transformation during cooling would invert the ratio, which would put the martensite start temperature above room temperature — meaning the transformation the design intended to trigger by stress had already run before the specimen was loaded, leaving nothing to induce. The lath-like, transformation-refined appearance of the AGG-treated wire (Fig. 1d, discussed in Sec. 3.1) points the same way. We present this as the reading the data favor rather than as established, and we identify calorimetry as the single most informative remaining experiment.</w:t>
      </w:r>
    </w:p>
    <w:p>
      <w:pPr>
        <w:numPr>
          <w:ilvl w:val="0"/>
          <w:numId w:val="1001"/>
        </w:numPr>
      </w:pPr>
      <w:r>
        <w:rPr>
          <w:i/>
          <w:iCs/>
        </w:rPr>
        <w:t xml:space="preserve">On morphology:</w:t>
      </w:r>
      <w:r>
        <w:t xml:space="preserve"> </w:t>
      </w:r>
      <w:r>
        <w:t xml:space="preserve">SEM/EDS (new Fig. 1b) resolves an intimately interlocked two-phase mixture, Al-rich α and Mn-rich γ. We deliberately do not assign either constituent as</w:t>
      </w:r>
      <w:r>
        <w:t xml:space="preserve"> </w:t>
      </w:r>
      <w:r>
        <w:t xml:space="preserve">“matrix,”</w:t>
      </w:r>
      <w:r>
        <w:t xml:space="preserve"> </w:t>
      </w:r>
      <w:r>
        <w:t xml:space="preserve">because a two-dimensional section through an interpenetrating duplex does not establish three-dimensional continuity (Sec. 3.1). What can be said mechanistically is said in Sec. 4.1: transforming the discrete α regions requires the surrounding majority γ to accommodate the shape strain, and γ at these anneal conditions yields at ≈500–670 MPa, so slip in γ preempts any transformation of the α it encloses.</w:t>
      </w:r>
    </w:p>
    <w:p>
      <w:pPr>
        <w:numPr>
          <w:ilvl w:val="0"/>
          <w:numId w:val="1001"/>
        </w:numPr>
      </w:pPr>
      <w:r>
        <w:rPr>
          <w:i/>
          <w:iCs/>
        </w:rPr>
        <w:t xml:space="preserve">On D0₃:</w:t>
      </w:r>
      <w:r>
        <w:t xml:space="preserve"> </w:t>
      </w:r>
      <w:r>
        <w:t xml:space="preserve">it does not act as the Reviewer’s second alternative proposes. The D0₃ present is a bulk ordered constituent (≈4%), not a fine coherent dispersion, so it does not raise the resistance to plastic flow the way nanoscale B2 does in the benchmark; and Sec. 4.1 now also explains</w:t>
      </w:r>
      <w:r>
        <w:t xml:space="preserve"> </w:t>
      </w:r>
      <w:r>
        <w:rPr>
          <w:i/>
          <w:iCs/>
        </w:rPr>
        <w:t xml:space="preserve">why</w:t>
      </w:r>
      <w:r>
        <w:t xml:space="preserve"> </w:t>
      </w:r>
      <w:r>
        <w:t xml:space="preserve">coherent B2 is unavailable to this composition — coherent B2 requires quenching from a single-phase α field and ageing within it, and this alloy has no such field at any accessible temperature. That statement is stronger than the absence of a B2 reflection alone would support, and it also accounts for the complete failure of the 200 °C/3 h age (Fig. 2h) to produce any response.</w:t>
      </w:r>
    </w:p>
    <w:p>
      <w:pPr>
        <w:pStyle w:val="FirstParagraph"/>
      </w:pPr>
      <w:r>
        <w:t xml:space="preserve">The post-deformation diffraction (spotty rings broadening into arcs, Fig. 4b; unchanged phase fractions, Fig. 6a) corroborates slip as the operative mechanism, as before.</w:t>
      </w:r>
    </w:p>
    <w:p>
      <w:pPr>
        <w:pStyle w:val="BodyText"/>
      </w:pPr>
      <w:r>
        <w:rPr>
          <w:b/>
          <w:bCs/>
        </w:rPr>
        <w:t xml:space="preserve">Comment 4.</w:t>
      </w:r>
      <w:r>
        <w:t xml:space="preserve"> </w:t>
      </w:r>
      <w:r>
        <w:rPr>
          <w:i/>
          <w:iCs/>
        </w:rPr>
        <w:t xml:space="preserve">The manuscript claims that the AI-designed alloy did not exhibit abnormal grain growth (AGG) even under the cyclic heat treatment intended to produce a bamboo-like structure. This observation, however, is buried in a single sentence in Section 3.3. Given that AGG is a central requirement for achieving super-elasticity in this alloy family, the fact that the AI-designed alloy fails to undergo AGG is a second, independent mode of failure. The authors should elevate this point, explicitly present the microstructure after the AGG treatment (which is currently absent from the figures), and discuss how the multi-phase stability prevents grain boundary migration—this would strengthen the case that the AI design is fundamentally incompatible with the processing route.</w:t>
      </w:r>
    </w:p>
    <w:p>
      <w:pPr>
        <w:pStyle w:val="BodyText"/>
      </w:pPr>
      <w:r>
        <w:rPr>
          <w:b/>
          <w:bCs/>
        </w:rPr>
        <w:t xml:space="preserve">Response.</w:t>
      </w:r>
      <w:r>
        <w:t xml:space="preserve"> </w:t>
      </w:r>
      <w:r>
        <w:t xml:space="preserve">We agree, and we have made this change. The abnormal-grain-growth result was a single sentence with no supporting figure; it is now a section of its own with two new figures.</w:t>
      </w:r>
    </w:p>
    <w:p>
      <w:pPr>
        <w:pStyle w:val="BodyText"/>
      </w:pPr>
      <w:r>
        <w:t xml:space="preserve">New Section 3.5 (</w:t>
      </w:r>
      <w:r>
        <w:t xml:space="preserve">“Response to the abnormal-grain-growth treatment”</w:t>
      </w:r>
      <w:r>
        <w:t xml:space="preserve">) and new Fig. 10 present the AI-designed alloy after the identical three-cycle treatment — which is the microstructure the Reviewer asks to see: the wire, which retains a fine banded duplex structure across its entire 330 µm section with no grain approaching the section width (Fig. 10a); the alloy at ≈1 mm rod section, where coarsening has occurred but is arrested along a continuous band of fine equiaxed grains (Fig. 10b); and boundary cracking on the rod surface after the treatment plus the 200 °C/3 h age (Fig. 10c). The benchmark’s response to the same treatment — complete bamboo formation, grains spanning its full 0.64 mm section — is stated in Sec. 3.5; it reproduces the well-documented behaviour of that composition and is deliberately not presented as a figure, since it is not a finding of this paper. New Fig. 8 adds the synchrotron diffraction pattern of the AGG-treated LLM-alloy, and Fig. 1d its optical microstructure.</w:t>
      </w:r>
    </w:p>
    <w:p>
      <w:pPr>
        <w:pStyle w:val="BodyText"/>
      </w:pPr>
      <w:r>
        <w:t xml:space="preserve">Fig. 10b answers the mechanistic part of the comment directly, and Section 3.5 develops it in the terms the Reviewer asks for. Grain growth in this alloy is not absent but</w:t>
      </w:r>
      <w:r>
        <w:t xml:space="preserve"> </w:t>
      </w:r>
      <w:r>
        <w:rPr>
          <w:i/>
          <w:iCs/>
        </w:rPr>
        <w:t xml:space="preserve">arrested</w:t>
      </w:r>
      <w:r>
        <w:t xml:space="preserve">, and it is arrested at the second phase: a boundary migrating through the duplex structure must drag or bypass a phase that no additional time at temperature will remove, because — as the equilibrium calculations of Sec. 3.4 show, and as the unchanged phase constitution of the post-AGG diffraction pattern (Fig. 8) confirms — the duplex state is the equilibrium state at 1200 °C, not an incompletely transformed one. The benchmark, single-phase α at that temperature, has nothing to pin a migrating boundary; the cyclic treatment works for it because repeated crossing of the γ ↔ α boundary leaves a few surviving α grains to grow without competition, and in an alloy that is duplex on both sides of the cycle there is no such condition to exploit. Section 3.5 adds two reinforcing mechanisms of the same origin: transformation interfaces created on every cycle, which subdivide prior grains rather than selecting a few to grow, and solute drag from the Mn/Al/Ni/Si partitioning that every crossing entails. Their combined effect is directly visible in Fig. 1d versus Fig. 1c.</w:t>
      </w:r>
    </w:p>
    <w:p>
      <w:pPr>
        <w:pStyle w:val="BodyText"/>
      </w:pPr>
      <w:r>
        <w:t xml:space="preserve">We would, however, respectfully qualify the Reviewer’s framing on two points, because in following the comment we found the evidence supports a different and, we think, stronger conclusion.</w:t>
      </w:r>
    </w:p>
    <w:p>
      <w:pPr>
        <w:pStyle w:val="BodyText"/>
      </w:pPr>
      <w:r>
        <w:t xml:space="preserve">First, on the facts: the revised manuscript no longer says the alloy</w:t>
      </w:r>
      <w:r>
        <w:t xml:space="preserve"> </w:t>
      </w:r>
      <w:r>
        <w:t xml:space="preserve">“did not exhibit AGG.”</w:t>
      </w:r>
      <w:r>
        <w:t xml:space="preserve"> </w:t>
      </w:r>
      <w:r>
        <w:t xml:space="preserve">It does coarsen — Fig. 10b shows it plainly at rod section, and the post-AGG diffraction pattern resolves into markedly more discrete spots than Fig. 4a, the signature of fewer and larger crystallites (Sec. 3.3, Fig. 8). What it does not form is</w:t>
      </w:r>
      <w:r>
        <w:t xml:space="preserve"> </w:t>
      </w:r>
      <w:r>
        <w:rPr>
          <w:i/>
          <w:iCs/>
        </w:rPr>
        <w:t xml:space="preserve">bamboo</w:t>
      </w:r>
      <w:r>
        <w:t xml:space="preserve"> </w:t>
      </w:r>
      <w:r>
        <w:t xml:space="preserve">structure, in which single grains span the section. Section 3.5 now separates grain size from grain span throughout, because the treatment changes the first and not the second.</w:t>
      </w:r>
    </w:p>
    <w:p>
      <w:pPr>
        <w:pStyle w:val="BodyText"/>
      </w:pPr>
      <w:r>
        <w:t xml:space="preserve">Second, on the interpretation: we do not believe the absence of bamboo constitutes a second, independent mode of failure, and we have not written it as one. Bamboo structure does not confer a transformation — it removes the inter-granular constraint that limits one, and so raises the recoverable strain of a material that already transforms. The benchmark demonstrates this within our own data set: the single-anneal benchmark condition of Fig. 3b is not a bamboo structure, yet the benchmark transforms there (≈0.5% recoverable strain on heating, Sec. 3.2), against the 5–8% this composition reaches once bamboo is developed. The tendency is detectable an order of magnitude below the grain structure that optimises it. In the LLM-alloy no such signal appears anywhere — not across the anneal conditions of Table 2, not with the 200 °C/3 h age, and not after the AGG treatment. Abnormal grain growth multiplies a transformation strain; there is nothing here for it to multiply. Section 3.5 additionally reports that coarsening embrittles this alloy (elongation 11.0% → 1.4% between the 1-minute and 40-minute anneals at 1200 °C, at ≈1 mm rod diameter with the same age applied), so the bamboo route would cost the alloy its ductility long before bamboo dimensions were reached. Both failures — the missing transformation and the arrested, embrittling coarsening — trace to the same duplex constitution, which is, we believe, a stronger statement than two independent failure modes: one diagnosis accounts for both observations, and a phase-stability screen would have raised both before any metal was melted (Sec. 4.4).</w:t>
      </w:r>
    </w:p>
    <w:p>
      <w:pPr>
        <w:pStyle w:val="BodyText"/>
      </w:pPr>
      <w:r>
        <w:rPr>
          <w:b/>
          <w:bCs/>
        </w:rPr>
        <w:t xml:space="preserve">Comment 5.</w:t>
      </w:r>
      <w:r>
        <w:t xml:space="preserve"> </w:t>
      </w:r>
      <w:r>
        <w:rPr>
          <w:i/>
          <w:iCs/>
        </w:rPr>
        <w:t xml:space="preserve">The terminology used throughout the manuscript—specifically</w:t>
      </w:r>
      <w:r>
        <w:rPr>
          <w:i/>
          <w:iCs/>
        </w:rPr>
        <w:t xml:space="preserve"> </w:t>
      </w:r>
      <w:r>
        <w:rPr>
          <w:i/>
          <w:iCs/>
        </w:rPr>
        <w:t xml:space="preserve">“Al-alloy”</w:t>
      </w:r>
      <w:r>
        <w:rPr>
          <w:i/>
          <w:iCs/>
        </w:rPr>
        <w:t xml:space="preserve"> </w:t>
      </w:r>
      <w:r>
        <w:rPr>
          <w:i/>
          <w:iCs/>
        </w:rPr>
        <w:t xml:space="preserve">and</w:t>
      </w:r>
      <w:r>
        <w:rPr>
          <w:i/>
          <w:iCs/>
        </w:rPr>
        <w:t xml:space="preserve"> </w:t>
      </w:r>
      <w:r>
        <w:rPr>
          <w:i/>
          <w:iCs/>
        </w:rPr>
        <w:t xml:space="preserve">“Al-hypothesized”</w:t>
      </w:r>
      <w:r>
        <w:rPr>
          <w:i/>
          <w:iCs/>
        </w:rPr>
        <w:t xml:space="preserve">—is problematic because</w:t>
      </w:r>
      <w:r>
        <w:rPr>
          <w:i/>
          <w:iCs/>
        </w:rPr>
        <w:t xml:space="preserve"> </w:t>
      </w:r>
      <w:r>
        <w:rPr>
          <w:i/>
          <w:iCs/>
        </w:rPr>
        <w:t xml:space="preserve">“Al”</w:t>
      </w:r>
      <w:r>
        <w:rPr>
          <w:i/>
          <w:iCs/>
        </w:rPr>
        <w:t xml:space="preserve"> </w:t>
      </w:r>
      <w:r>
        <w:rPr>
          <w:i/>
          <w:iCs/>
        </w:rPr>
        <w:t xml:space="preserve">is also the chemical symbol for aluminum, which is a major constituent of the alloy under study (~6 wt.%). This ambiguity is confusing and detracts from readability. The authors should replace</w:t>
      </w:r>
      <w:r>
        <w:rPr>
          <w:i/>
          <w:iCs/>
        </w:rPr>
        <w:t xml:space="preserve"> </w:t>
      </w:r>
      <w:r>
        <w:rPr>
          <w:i/>
          <w:iCs/>
        </w:rPr>
        <w:t xml:space="preserve">“Al”</w:t>
      </w:r>
      <w:r>
        <w:rPr>
          <w:i/>
          <w:iCs/>
        </w:rPr>
        <w:t xml:space="preserve"> </w:t>
      </w:r>
      <w:r>
        <w:rPr>
          <w:i/>
          <w:iCs/>
        </w:rPr>
        <w:t xml:space="preserve">with</w:t>
      </w:r>
      <w:r>
        <w:rPr>
          <w:i/>
          <w:iCs/>
        </w:rPr>
        <w:t xml:space="preserve"> </w:t>
      </w:r>
      <w:r>
        <w:rPr>
          <w:i/>
          <w:iCs/>
        </w:rPr>
        <w:t xml:space="preserve">“AI”</w:t>
      </w:r>
      <w:r>
        <w:rPr>
          <w:i/>
          <w:iCs/>
        </w:rPr>
        <w:t xml:space="preserve"> </w:t>
      </w:r>
      <w:r>
        <w:rPr>
          <w:i/>
          <w:iCs/>
        </w:rPr>
        <w:t xml:space="preserve">(artificial intelligence) or</w:t>
      </w:r>
      <w:r>
        <w:rPr>
          <w:i/>
          <w:iCs/>
        </w:rPr>
        <w:t xml:space="preserve"> </w:t>
      </w:r>
      <w:r>
        <w:rPr>
          <w:i/>
          <w:iCs/>
        </w:rPr>
        <w:t xml:space="preserve">“AI-designed”</w:t>
      </w:r>
      <w:r>
        <w:rPr>
          <w:i/>
          <w:iCs/>
        </w:rPr>
        <w:t xml:space="preserve"> </w:t>
      </w:r>
      <w:r>
        <w:rPr>
          <w:i/>
          <w:iCs/>
        </w:rPr>
        <w:t xml:space="preserve">in all instances, including the title, abstract, and keywords, to clearly distinguish the alloy designation from elemental aluminum.</w:t>
      </w:r>
    </w:p>
    <w:p>
      <w:pPr>
        <w:pStyle w:val="BodyText"/>
      </w:pPr>
      <w:r>
        <w:rPr>
          <w:b/>
          <w:bCs/>
        </w:rPr>
        <w:t xml:space="preserve">Response.</w:t>
      </w:r>
      <w:r>
        <w:t xml:space="preserve"> </w:t>
      </w:r>
      <w:r>
        <w:t xml:space="preserve">We checked the submitted source file, and the manuscript in fact reads</w:t>
      </w:r>
      <w:r>
        <w:t xml:space="preserve"> </w:t>
      </w:r>
      <w:r>
        <w:t xml:space="preserve">“AI”</w:t>
      </w:r>
      <w:r>
        <w:t xml:space="preserve"> </w:t>
      </w:r>
      <w:r>
        <w:t xml:space="preserve">(capital A, capital I) in every instance —</w:t>
      </w:r>
      <w:r>
        <w:t xml:space="preserve"> </w:t>
      </w:r>
      <w:r>
        <w:t xml:space="preserve">“Al-alloy”</w:t>
      </w:r>
      <w:r>
        <w:t xml:space="preserve"> </w:t>
      </w:r>
      <w:r>
        <w:t xml:space="preserve">appears nowhere in it. What the Reviewer encountered is the typeface of the review rendering, in which capital</w:t>
      </w:r>
      <w:r>
        <w:t xml:space="preserve"> </w:t>
      </w:r>
      <w:r>
        <w:t xml:space="preserve">“I”</w:t>
      </w:r>
      <w:r>
        <w:t xml:space="preserve"> </w:t>
      </w:r>
      <w:r>
        <w:t xml:space="preserve">and lowercase</w:t>
      </w:r>
      <w:r>
        <w:t xml:space="preserve"> </w:t>
      </w:r>
      <w:r>
        <w:t xml:space="preserve">“l”</w:t>
      </w:r>
      <w:r>
        <w:t xml:space="preserve"> </w:t>
      </w:r>
      <w:r>
        <w:t xml:space="preserve">are the same glyph, so that</w:t>
      </w:r>
      <w:r>
        <w:t xml:space="preserve"> </w:t>
      </w:r>
      <w:r>
        <w:t xml:space="preserve">“AI-alloy”</w:t>
      </w:r>
      <w:r>
        <w:t xml:space="preserve"> </w:t>
      </w:r>
      <w:r>
        <w:t xml:space="preserve">is genuinely indistinguishable from</w:t>
      </w:r>
      <w:r>
        <w:t xml:space="preserve"> </w:t>
      </w:r>
      <w:r>
        <w:t xml:space="preserve">“Al-alloy”</w:t>
      </w:r>
      <w:r>
        <w:t xml:space="preserve"> </w:t>
      </w:r>
      <w:r>
        <w:t xml:space="preserve">on the page. We are grateful the Reviewer raised it, because the ambiguity is real even though it is typographic rather than textual: in a paper about an Fe-Mn-</w:t>
      </w:r>
      <w:r>
        <w:rPr>
          <w:b/>
          <w:bCs/>
        </w:rPr>
        <w:t xml:space="preserve">Al</w:t>
      </w:r>
      <w:r>
        <w:t xml:space="preserve"> </w:t>
      </w:r>
      <w:r>
        <w:t xml:space="preserve">alloy, a designation that can be</w:t>
      </w:r>
      <w:r>
        <w:t xml:space="preserve"> </w:t>
      </w:r>
      <w:r>
        <w:rPr>
          <w:i/>
          <w:iCs/>
        </w:rPr>
        <w:t xml:space="preserve">read</w:t>
      </w:r>
      <w:r>
        <w:t xml:space="preserve"> </w:t>
      </w:r>
      <w:r>
        <w:t xml:space="preserve">as</w:t>
      </w:r>
      <w:r>
        <w:t xml:space="preserve"> </w:t>
      </w:r>
      <w:r>
        <w:t xml:space="preserve">“Al-alloy”</w:t>
      </w:r>
      <w:r>
        <w:t xml:space="preserve"> </w:t>
      </w:r>
      <w:r>
        <w:t xml:space="preserve">is a defect regardless of what the file contains.</w:t>
      </w:r>
    </w:p>
    <w:p>
      <w:pPr>
        <w:pStyle w:val="BodyText"/>
      </w:pPr>
      <w:r>
        <w:t xml:space="preserve">We have therefore adopted the spirit of the comment and gone further than its letter: the test alloy is now named the</w:t>
      </w:r>
      <w:r>
        <w:t xml:space="preserve"> </w:t>
      </w:r>
      <w:r>
        <w:rPr>
          <w:b/>
          <w:bCs/>
        </w:rPr>
        <w:t xml:space="preserve">LLM-alloy</w:t>
      </w:r>
      <w:r>
        <w:t xml:space="preserve"> </w:t>
      </w:r>
      <w:r>
        <w:t xml:space="preserve">and the reference alloy the</w:t>
      </w:r>
      <w:r>
        <w:t xml:space="preserve"> </w:t>
      </w:r>
      <w:r>
        <w:rPr>
          <w:b/>
          <w:bCs/>
        </w:rPr>
        <w:t xml:space="preserve">benchmark alloy</w:t>
      </w:r>
      <w:r>
        <w:t xml:space="preserve"> </w:t>
      </w:r>
      <w:r>
        <w:t xml:space="preserve">throughout — title, abstract, text, tables and figure captions — with</w:t>
      </w:r>
      <w:r>
        <w:t xml:space="preserve"> </w:t>
      </w:r>
      <w:r>
        <w:t xml:space="preserve">“AI-guided/AI-assisted”</w:t>
      </w:r>
      <w:r>
        <w:t xml:space="preserve"> </w:t>
      </w:r>
      <w:r>
        <w:t xml:space="preserve">reserved for the field in general (as in the keyword list), where no element symbol sits adjacent.</w:t>
      </w:r>
      <w:r>
        <w:t xml:space="preserve"> </w:t>
      </w:r>
      <w:r>
        <w:t xml:space="preserve">“LLM”</w:t>
      </w:r>
      <w:r>
        <w:t xml:space="preserve"> </w:t>
      </w:r>
      <w:r>
        <w:t xml:space="preserve">contains no letter that collides with an element symbol in any typeface, and it is also the more precise term for what the agent is, which a second reviewer independently requested. The title is now</w:t>
      </w:r>
      <w:r>
        <w:t xml:space="preserve"> </w:t>
      </w:r>
      <w:r>
        <w:rPr>
          <w:i/>
          <w:iCs/>
        </w:rPr>
        <w:t xml:space="preserve">Experimental Validation of an LLM-Hypothesized Fe-Mn-Al-Ni-Si-C Alloy: Phase Stability Governs the Absence of Super-elasticity</w:t>
      </w:r>
      <w:r>
        <w:t xml:space="preserve">.</w:t>
      </w:r>
    </w:p>
    <w:p>
      <w:pPr>
        <w:pStyle w:val="BodyText"/>
      </w:pPr>
      <w:r>
        <w:rPr>
          <w:b/>
          <w:bCs/>
        </w:rPr>
        <w:t xml:space="preserve">Comment 6.</w:t>
      </w:r>
      <w:r>
        <w:t xml:space="preserve"> </w:t>
      </w:r>
      <w:r>
        <w:rPr>
          <w:i/>
          <w:iCs/>
        </w:rPr>
        <w:t xml:space="preserve">In Section 2.1, the authors state that Si was added for solid-solution strengthening and to influence stacking-fault energy. However, this rationale is not revisited in the Discussion. The authors should either provide a more detailed justification for the Si addition or acknowledge in hindsight that Si may have contributed to the phase-stability imbalance.</w:t>
      </w:r>
    </w:p>
    <w:p>
      <w:pPr>
        <w:pStyle w:val="BodyText"/>
      </w:pPr>
      <w:r>
        <w:rPr>
          <w:b/>
          <w:bCs/>
        </w:rPr>
        <w:t xml:space="preserve">Response.</w:t>
      </w:r>
      <w:r>
        <w:t xml:space="preserve"> </w:t>
      </w:r>
      <w:r>
        <w:t xml:space="preserve">The Reviewer is right that silicon was introduced in the Methods and never revisited. The revision returns to it in Section 4.2, and the calculations allow the answer to be split into what silicon did not do and what it may have done.</w:t>
      </w:r>
    </w:p>
    <w:p>
      <w:pPr>
        <w:pStyle w:val="BodyText"/>
      </w:pPr>
      <w:r>
        <w:t xml:space="preserve">What it did not do: silicon is a ferrite stabilizer, so it cannot have contributed to the γ-stability imbalance — if anything it leaned the other way. The carbon-free control of Sec. 3.4 holds Si at its measured 2.04 at% in both Si-carrying databases and still returns 100% α at 1200 °C, so silicon does not obstruct the single-phase field; and Sec. 2.6 verifies that the primary database’s lack of Si biases it</w:t>
      </w:r>
      <w:r>
        <w:t xml:space="preserve"> </w:t>
      </w:r>
      <w:r>
        <w:rPr>
          <w:i/>
          <w:iCs/>
        </w:rPr>
        <w:t xml:space="preserve">toward</w:t>
      </w:r>
      <w:r>
        <w:t xml:space="preserve"> </w:t>
      </w:r>
      <w:r>
        <w:t xml:space="preserve">γ, i.e. toward the conclusion, and cross-checks against the two Si-carrying databases confirm the duplex constitution is not an artifact of the omission. Separately, silicon was recovered at only half its intended level (2.04 against 4 at%, Sec. 2.1), so it also cannot have delivered the solid-solution strengthening it was specified for.</w:t>
      </w:r>
    </w:p>
    <w:p>
      <w:pPr>
        <w:pStyle w:val="BodyText"/>
      </w:pPr>
      <w:r>
        <w:t xml:space="preserve">What it may have done: Section 4.2 now discusses Heo et al. (Metall. Mater. Trans. A 43 (2012) 1731), who examined precisely this substitution in the Fe-Mn-Al-C field and found that silicon promotes (Fe,Mn)₅(Si,Al)C together with the (Fe,Mn)₃(Al,Si) D0₃ ordered phase in the ferrite, with a serious loss of ductility. D0₃ is the ordered phase we observe, in the α constituent. With two heats and no silicon-free control we cannot separate a silicon contribution to that ordering from an iron-aluminum one, and the revision does not claim it; what it does say, as the hindsight acknowledgement the Reviewer asks for, is that an addition the design rationale treated purely as a strengthener has a documented second role in this compositional field — as a promoter of the very ordering product that was found — and nothing in the reasoning that proposed it engaged with that role.</w:t>
      </w:r>
    </w:p>
    <w:p>
      <w:pPr>
        <w:pStyle w:val="BodyText"/>
      </w:pPr>
      <w:r>
        <w:rPr>
          <w:b/>
          <w:bCs/>
        </w:rPr>
        <w:t xml:space="preserve">Comment 7.</w:t>
      </w:r>
      <w:r>
        <w:t xml:space="preserve"> </w:t>
      </w:r>
      <w:r>
        <w:rPr>
          <w:i/>
          <w:iCs/>
        </w:rPr>
        <w:t xml:space="preserve">The mechanical testing section (Section 2.4) describes the heating stage for the shape-memory effect test as</w:t>
      </w:r>
      <w:r>
        <w:rPr>
          <w:i/>
          <w:iCs/>
        </w:rPr>
        <w:t xml:space="preserve"> </w:t>
      </w:r>
      <w:r>
        <w:rPr>
          <w:i/>
          <w:iCs/>
        </w:rPr>
        <w:t xml:space="preserve">“to ≈200°C,”</w:t>
      </w:r>
      <w:r>
        <w:rPr>
          <w:i/>
          <w:iCs/>
        </w:rPr>
        <w:t xml:space="preserve"> </w:t>
      </w:r>
      <w:r>
        <w:rPr>
          <w:i/>
          <w:iCs/>
        </w:rPr>
        <w:t xml:space="preserve">but the heating rate and holding time are not specified. These details are critical for assessing whether the reverse transformation was fully triggered. The authors should provide this information.</w:t>
      </w:r>
    </w:p>
    <w:p>
      <w:pPr>
        <w:pStyle w:val="BodyText"/>
      </w:pPr>
      <w:r>
        <w:rPr>
          <w:b/>
          <w:bCs/>
        </w:rPr>
        <w:t xml:space="preserve">Response.</w:t>
      </w:r>
      <w:r>
        <w:t xml:space="preserve"> </w:t>
      </w:r>
      <w:r>
        <w:t xml:space="preserve">We agree these details belong in Section 2.4 and we have added them. The specimen was heated to ≈200 °C at a rate of ≈50 °C s⁻¹ and held for ≈10 s at temperature before reloading. On whether this was sufficient to fully trigger the reverse transformation, which is the substance of the Reviewer’s question: at the wire’s 0.36 mm diameter the cross-section reaches temperature in a small fraction of the hold, so the specimen genuinely experienced ≈10 s at ≈200 °C rather than a surface excursion. Section 2.4 has also been rewritten to remove an ambiguity in the same paragraph: it now states explicitly that the specimen was unloaded to zero stress and the crosshead then returned to its starting position (nominal zero strain), which is the state in which heating was applied. We note that the same protocol applied to the benchmark alloy did trigger a resolvable reverse transformation (0.5% recovery on heating, Fig. 3b), which is the internal evidence that the heating stage as executed was sufficient to reverse retained stress-induced martensite where such martensite existed.</w:t>
      </w:r>
    </w:p>
    <w:p>
      <w:pPr>
        <w:pStyle w:val="BodyText"/>
      </w:pPr>
      <w:r>
        <w:rPr>
          <w:b/>
          <w:bCs/>
        </w:rPr>
        <w:t xml:space="preserve">Comment 8.</w:t>
      </w:r>
      <w:r>
        <w:t xml:space="preserve"> </w:t>
      </w:r>
      <w:r>
        <w:rPr>
          <w:i/>
          <w:iCs/>
        </w:rPr>
        <w:t xml:space="preserve">In Table 1, the Omori-alloy contains an unexpected 0.06 wt.% phosphorus, and the authors note the source is unknown. While this may not affect the main conclusions, the authors should discuss whether this unintentional impurity could have influenced the mechanical behavior of the benchmark alloy (e.g., by grain-boundary embrittlement) and whether it complicates the direct comparison with the AI-designed alloy.</w:t>
      </w:r>
    </w:p>
    <w:p>
      <w:pPr>
        <w:pStyle w:val="BodyText"/>
      </w:pPr>
      <w:r>
        <w:rPr>
          <w:b/>
          <w:bCs/>
        </w:rPr>
        <w:t xml:space="preserve">Response.</w:t>
      </w:r>
      <w:r>
        <w:t xml:space="preserve"> </w:t>
      </w:r>
      <w:r>
        <w:t xml:space="preserve">Section 2.1 now discusses this directly. The 0.06 wt% (≈0.10 at%) phosphorus is below the level at which grain-boundary embrittlement is normally reported in Fe-Mn austenitic and duplex alloys, and the benchmark exhibited both good ductility and a clear stress-induced transformation (Figs. 3b, 4d, 6b), so the impurity did not preclude the reference behaviour the comparison requires. As to whether it complicates the comparison: any effect the phosphorus did have could only have</w:t>
      </w:r>
      <w:r>
        <w:t xml:space="preserve"> </w:t>
      </w:r>
      <w:r>
        <w:rPr>
          <w:i/>
          <w:iCs/>
        </w:rPr>
        <w:t xml:space="preserve">degraded</w:t>
      </w:r>
      <w:r>
        <w:t xml:space="preserve"> </w:t>
      </w:r>
      <w:r>
        <w:t xml:space="preserve">the benchmark, and the paper’s comparison runs in the direction</w:t>
      </w:r>
      <w:r>
        <w:t xml:space="preserve"> </w:t>
      </w:r>
      <w:r>
        <w:t xml:space="preserve">“benchmark transforms, LLM-alloy does not”</w:t>
      </w:r>
      <w:r>
        <w:t xml:space="preserve"> </w:t>
      </w:r>
      <w:r>
        <w:t xml:space="preserve">— so the impurity makes that comparison conservative rather than confounded. The most plausible origin (a residual from the commercial melting stock) is stated, along with the fact that it remains unconfirmed. The phosphorus is also carried in the CALPHAD input for the benchmark in the one database able to model it (Sec. 2.6), so the calculations describe the alloy as actually cast, impurity included.</w:t>
      </w:r>
    </w:p>
    <w:p>
      <w:pPr>
        <w:pStyle w:val="BodyText"/>
      </w:pPr>
      <w:r>
        <w:rPr>
          <w:b/>
          <w:bCs/>
        </w:rPr>
        <w:t xml:space="preserve">Comment 9.</w:t>
      </w:r>
      <w:r>
        <w:t xml:space="preserve"> </w:t>
      </w:r>
      <w:r>
        <w:rPr>
          <w:i/>
          <w:iCs/>
        </w:rPr>
        <w:t xml:space="preserve">The peak elongation of the AI-designed alloy (≈33% at 1000°C) is remarkably high for a duplex alloy. While this is not central to the main conclusion, the authors could briefly comment on whether this ductility is exceptional and whether it suggests any potential for structural applications despite the lack of shape-memory functionality.</w:t>
      </w:r>
    </w:p>
    <w:p>
      <w:pPr>
        <w:pStyle w:val="BodyText"/>
      </w:pPr>
      <w:r>
        <w:rPr>
          <w:b/>
          <w:bCs/>
        </w:rPr>
        <w:t xml:space="preserve">Response.</w:t>
      </w:r>
      <w:r>
        <w:t xml:space="preserve"> </w:t>
      </w:r>
      <w:r>
        <w:t xml:space="preserve">We have added this commentary at the end of Section 4.3, and the honest answer is that the figure is respectable rather than exceptional — which is itself informative. Judged against the Ni-alloyed Fe-Mn-Al-C low-density structural steels whose compositional field this alloy in fact occupies (Sec. 4.2), the family spans yield strengths of ≈500–940 MPa, tensile strengths of ≈710–1020 MPa and elongations of 8–78% depending on microstructure (Rahnama et al., Acta Mater. 132 (2017) 627), and the 1000–1200 °C conditions of Table 2 sit inside that envelope on all three measures (σ₀.₂ 502–673 MPa, UTS 938–967 MPa, elongation 23.9–33.4%). The revision therefore frames the alloy as the Reviewer’s question suggests: a serviceable structural metal — combining ≈670 MPa yield strength with ≈33% elongation at the 1000 °C anneal — that was hypothesized to be a shape-memory alloy and is not one. It is best read as an unoptimized member of the low-density-steel family rather than a failed member of the shape-memory family (it carries too little carbon for the κ-carbide strengthening on which that family’s strength is built, Sec. 4.2), and we believe that reading is a more informative outcome than</w:t>
      </w:r>
      <w:r>
        <w:t xml:space="preserve"> </w:t>
      </w:r>
      <w:r>
        <w:t xml:space="preserve">“failure”</w:t>
      </w:r>
      <w:r>
        <w:t xml:space="preserve"> </w:t>
      </w:r>
      <w:r>
        <w:t xml:space="preserve">alone.</w:t>
      </w:r>
    </w:p>
    <w:p>
      <w:r>
        <w:pict>
          <v:rect style="width:0;height:1.5pt" o:hralign="center" o:hrstd="t" o:hr="t"/>
        </w:pict>
      </w:r>
    </w:p>
    <w:p>
      <w:pPr>
        <w:pStyle w:val="FirstParagraph"/>
      </w:pPr>
      <w:r>
        <w:t xml:space="preserve">We thank the Reviewer again for a review whose two central requests — the thermodynamic calculation and the elevation of the AGG result — did the most of any comments we received to strengthen the manuscript.</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2026-08-18T21:27:32Z</dcterms:created>
  <dcterms:modified xsi:type="dcterms:W3CDTF">2026-08-18T21:27:32Z</dcterms:modified>
</cp:coreProperties>
</file>

<file path=docProps/custom.xml><?xml version="1.0" encoding="utf-8"?>
<Properties xmlns="http://schemas.openxmlformats.org/officeDocument/2006/custom-properties" xmlns:vt="http://schemas.openxmlformats.org/officeDocument/2006/docPropsVTypes"/>
</file>