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21.jpg" ContentType="image/jpeg"/>
  <Override PartName="/word/media/rId24.jpg" ContentType="image/jpeg"/>
  <Override PartName="/word/media/rId28.jpg" ContentType="image/jpeg"/>
  <Override PartName="/word/media/rId31.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Mechanical Responses of an AI-Hypothesized Super-elastic Fe-Mn-Al-Ni-Si-C Alloy</w:t>
      </w:r>
    </w:p>
    <w:p>
      <w:pPr>
        <w:pStyle w:val="FirstParagraph"/>
      </w:pPr>
      <w:r>
        <w:t xml:space="preserve">Frank Y. Cai</w:t>
      </w:r>
      <w:r>
        <w:rPr>
          <w:vertAlign w:val="superscript"/>
        </w:rPr>
        <w:t xml:space="preserve">1</w:t>
      </w:r>
      <w:r>
        <w:t xml:space="preserve"> </w:t>
      </w:r>
      <w:r>
        <w:t xml:space="preserve">· S. Cai</w:t>
      </w:r>
      <w:r>
        <w:rPr>
          <w:vertAlign w:val="superscript"/>
        </w:rPr>
        <w:t xml:space="preserve">2</w:t>
      </w:r>
      <w:r>
        <w:t xml:space="preserve"> </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rPr>
          <w:b/>
          <w:bCs/>
        </w:rPr>
        <w:t xml:space="preserve">Corresponding author:</w:t>
      </w:r>
      <w:r>
        <w:t xml:space="preserve"> </w:t>
      </w:r>
      <w:r>
        <w:t xml:space="preserve">Frank Y. Cai, cai485@purdue.edu</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pPr>
        <w:pStyle w:val="BodyText"/>
      </w:pPr>
      <w:r>
        <w:rPr>
          <w:b/>
          <w:bCs/>
        </w:rPr>
        <w:t xml:space="preserve">Keywords:</w:t>
      </w:r>
      <w:r>
        <w:t xml:space="preserve"> </w:t>
      </w:r>
      <w:r>
        <w:t xml:space="preserve">Fe-based shape memory alloy; super-elasticity; AI-guided alloy design;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(Ref 1)</w:t>
      </w:r>
      <w:r>
        <w:t xml:space="preserve">, and agentic large language models with deep-research capabilities can ingest decades of metallurgical literature and propose compositions in seconds</w:t>
      </w:r>
      <w:r>
        <w:t xml:space="preserve"> </w:t>
      </w:r>
      <w:r>
        <w:t xml:space="preserve">(Ref 2,3)</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t xml:space="preserve"> </w:t>
      </w:r>
      <w:r>
        <w:t xml:space="preserve">(Ref 4)</w:t>
      </w:r>
      <w:r>
        <w:t xml:space="preserve">, generative inverse design</w:t>
      </w:r>
      <w:r>
        <w:t xml:space="preserve"> </w:t>
      </w:r>
      <w:r>
        <w:t xml:space="preserve">(Ref 5)</w:t>
      </w:r>
      <w:r>
        <w:t xml:space="preserve">, and LLM-based hypothesis generation</w:t>
      </w:r>
      <w:r>
        <w:t xml:space="preserve"> </w:t>
      </w:r>
      <w:r>
        <w:t xml:space="preserve">(Ref 6)</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(Ref 1)</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(Ref 7,8)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(Ref 9,10)</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(Ref 11)</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(Ref 12)</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(Ref 13,14)</w:t>
      </w:r>
      <w:r>
        <w:t xml:space="preserve">. However, achieving a bamboo-like grain structure poses significant challenges, especially at industrial scale. In this study, we adopted this alloy system, trained an AI with over 200 published papers on Fe-based SMAs along with other publicly available information, and asked the AI for lower-cost alternatives with the potential to exhibit super-elasticity with small grain sizes. We processed one of the AI-hypothesized compositions alongside the alloy reported by Omori</w:t>
      </w:r>
      <w:r>
        <w:t xml:space="preserve"> </w:t>
      </w:r>
      <w:r>
        <w:rPr>
          <w:i/>
          <w:iCs/>
        </w:rPr>
        <w:t xml:space="preserve">et al.</w:t>
      </w:r>
      <w:r>
        <w:t xml:space="preserve"> </w:t>
      </w:r>
      <w:r>
        <w:t xml:space="preserve">(Ref 12)</w:t>
      </w:r>
      <w:r>
        <w:t xml:space="preserve">. Because the processing history was kept identical for both alloys, compositional differences are the sole variable determining the final mechanical properties.</w:t>
      </w:r>
    </w:p>
    <w:p>
      <w:r>
        <w:pict>
          <v:rect style="width:0;height:1.5pt" o:hralign="center" o:hrstd="t" o:hr="t"/>
        </w:pict>
      </w:r>
    </w:p>
    <w:bookmarkEnd w:id="10"/>
    <w:bookmarkStart w:id="16"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AI-hypothesized composition was generated by an LLM deep-research agent (Gemini 2.5 with the Deep Research tool</w:t>
      </w:r>
      <w:r>
        <w:t xml:space="preserve"> </w:t>
      </w:r>
      <w:r>
        <w:t xml:space="preserve">(Ref 2)</w:t>
      </w:r>
      <w:r>
        <w:t xml:space="preserve">) prompted to propose an Fe-Mn-Al-based composition optimized for room-temperature super-elasticity. The agent was instructed to (i) reason from the Fe-Mn-Al-Ni family established by Omori and co-workers</w:t>
      </w:r>
      <w:r>
        <w:t xml:space="preserve"> </w:t>
      </w:r>
      <w:r>
        <w:t xml:space="preserve">(Ref 12,15)</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t xml:space="preserve"> </w:t>
      </w:r>
      <w:r>
        <w:t xml:space="preserve">(Ref 12)</w:t>
      </w:r>
      <w:r>
        <w:t xml:space="preserve">, was synthesized under identical conditions. These alloys are hereafter named the AI-alloy and Omori-alloy, respectively.</w:t>
      </w:r>
    </w:p>
    <w:p>
      <w:pPr>
        <w:pStyle w:val="BodyText"/>
      </w:pPr>
      <w:r>
        <w:t xml:space="preserve">Using high-purity raw elements, about 2 kg of each alloy was melted in a vacuum induction furnace and cast into ø50 mm ingots. Alloy chemistries are listed in</w:t>
      </w:r>
      <w:r>
        <w:t xml:space="preserve"> </w:t>
      </w:r>
      <w:r>
        <w:rPr>
          <w:b/>
          <w:bCs/>
        </w:rPr>
        <w:t xml:space="preserve">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AI-alloy (nominal)</w:t>
            </w:r>
          </w:p>
        </w:tc>
        <w:tc>
          <w:tcPr/>
          <w:p>
            <w:pPr>
              <w:pStyle w:val="Compact"/>
            </w:pPr>
            <w:r>
              <w:t xml:space="preserve">AI-alloy (actual)</w:t>
            </w:r>
          </w:p>
        </w:tc>
        <w:tc>
          <w:tcPr/>
          <w:p>
            <w:pPr>
              <w:pStyle w:val="Compact"/>
            </w:pPr>
            <w:r>
              <w:t xml:space="preserve">Omori-alloy (nominal)</w:t>
            </w:r>
          </w:p>
        </w:tc>
        <w:tc>
          <w:tcPr/>
          <w:p>
            <w:pPr>
              <w:pStyle w:val="Compact"/>
            </w:pPr>
            <w:r>
              <w:t xml:space="preserve">Omori-alloy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t xml:space="preserve"> </w:t>
      </w:r>
      <w:r>
        <w:t xml:space="preserve">(Ref 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(Ref 17,18)</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t xml:space="preserve"> </w:t>
      </w:r>
      <w:r>
        <w:t xml:space="preserve">(Ref 19)</w:t>
      </w:r>
      <w:r>
        <w:t xml:space="preserve">, where diffraction data were sliced at 5-degree intervals along the 360-degree azimuth and integrated to generate 72 diffraction spectra, which were then fitted by Rietveld refinement</w:t>
      </w:r>
      <w:r>
        <w:t xml:space="preserve"> </w:t>
      </w:r>
      <w:r>
        <w:t xml:space="preserve">(Ref 20)</w:t>
      </w:r>
      <w:r>
        <w:t xml:space="preserve"> </w:t>
      </w:r>
      <w:r>
        <w:t xml:space="preserve">in MAUD software</w:t>
      </w:r>
      <w:r>
        <w:t xml:space="preserve"> </w:t>
      </w:r>
      <w:r>
        <w:t xml:space="preserve">(Ref 21)</w:t>
      </w:r>
      <w:r>
        <w:t xml:space="preserve"> </w:t>
      </w:r>
      <w:r>
        <w:t xml:space="preserve">to identify phase constitutions, volume fractions, and crystal orientations of the different phases.</w:t>
      </w:r>
    </w:p>
    <w:p>
      <w:r>
        <w:pict>
          <v:rect style="width:0;height:1.5pt" o:hralign="center" o:hrstd="t" o:hr="t"/>
        </w:pict>
      </w:r>
    </w:p>
    <w:bookmarkEnd w:id="15"/>
    <w:bookmarkEnd w:id="16"/>
    <w:bookmarkStart w:id="38" w:name="experiment-results"/>
    <w:p>
      <w:pPr>
        <w:pStyle w:val="Heading1"/>
      </w:pPr>
      <w:r>
        <w:t xml:space="preserve">3. Experiment Results</w:t>
      </w:r>
    </w:p>
    <w:bookmarkStart w:id="20" w:name="microstructure"/>
    <w:p>
      <w:pPr>
        <w:pStyle w:val="Heading2"/>
      </w:pPr>
      <w:r>
        <w:t xml:space="preserve">3.1 Microstructure</w:t>
      </w:r>
    </w:p>
    <w:p>
      <w:pPr>
        <w:pStyle w:val="FirstParagraph"/>
      </w:pPr>
      <w:r>
        <w:rPr>
          <w:b/>
          <w:bCs/>
        </w:rPr>
        <w:t xml:space="preserve">Fig. 1a</w:t>
      </w:r>
      <w:r>
        <w:t xml:space="preserve"> </w:t>
      </w:r>
      <w:r>
        <w:t xml:space="preserve">shows the microstructure of the AI 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AI alloy after heat treatment: (a) 1200 °C, 1 min, optical; (b) 1200 °C, 1 min, SEM; (c) 1200 °C, 40 min, optical." title="" id="18" name="Picture"/>
            <a:graphic>
              <a:graphicData uri="http://schemas.openxmlformats.org/drawingml/2006/picture">
                <pic:pic>
                  <pic:nvPicPr>
                    <pic:cNvPr descr="figures/Figure_1.jpg" id="19" name="Picture"/>
                    <pic:cNvPicPr>
                      <a:picLocks noChangeArrowheads="1" noChangeAspect="1"/>
                    </pic:cNvPicPr>
                  </pic:nvPicPr>
                  <pic:blipFill>
                    <a:blip r:embed="rId17"/>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AI alloy after heat treatment: (a) 1200 °C, 1 min, optical; (b) 1200 °C, 1 min, SEM; (c) 1200 °C, 40 min, optical.</w:t>
      </w:r>
    </w:p>
    <w:bookmarkEnd w:id="20"/>
    <w:bookmarkStart w:id="27" w:name="cyclic-stressstrain-response"/>
    <w:p>
      <w:pPr>
        <w:pStyle w:val="Heading2"/>
      </w:pPr>
      <w:r>
        <w:t xml:space="preserve">3.2 Cyclic stress–strain response</w:t>
      </w:r>
    </w:p>
    <w:p>
      <w:pPr>
        <w:pStyle w:val="FirstParagraph"/>
      </w:pPr>
      <w:r>
        <w:t xml:space="preserve">Cyclic tensile stress–strain curves for the AI 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 xml:space="preserve">(Ref 22,23)</w:t>
      </w:r>
      <w:r>
        <w:t xml:space="preserve">; this was not the case for the AI alloy (</w:t>
      </w:r>
      <w:r>
        <w:rPr>
          <w:b/>
          <w:bCs/>
        </w:rPr>
        <w:t xml:space="preserve">Fig. 2f</w:t>
      </w:r>
      <w:r>
        <w:t xml:space="preserve">).</w:t>
      </w:r>
    </w:p>
    <w:p>
      <w:pPr>
        <w:pStyle w:val="BodyText"/>
      </w:pPr>
      <w:r>
        <w:rPr>
          <w:b/>
          <w:bCs/>
        </w:rPr>
        <w:t xml:space="preserve">Table 2.</w:t>
      </w:r>
      <w:r>
        <w:t xml:space="preserve"> </w:t>
      </w:r>
      <w:r>
        <w:t xml:space="preserve">Mechanical properties of the AI 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AI alloy after annealing for 1 minute at various temperatures. Wire diameter is 0.36 mm. Panel (f) shows the stress–strain response of the annealed-plus-aged sample." title="" id="22" name="Picture"/>
            <a:graphic>
              <a:graphicData uri="http://schemas.openxmlformats.org/drawingml/2006/picture">
                <pic:pic>
                  <pic:nvPicPr>
                    <pic:cNvPr descr="figures/Figure_2.jpg" id="23" name="Picture"/>
                    <pic:cNvPicPr>
                      <a:picLocks noChangeArrowheads="1" noChangeAspect="1"/>
                    </pic:cNvPicPr>
                  </pic:nvPicPr>
                  <pic:blipFill>
                    <a:blip r:embed="rId21"/>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AI 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AI alloy and (b) the Omori alloy. Samples were heat treated at 1200 °C for 1 minute. Black arrows show the deformation path; the red arrow highlights the strain recovery caused by heating." title="" id="25" name="Picture"/>
            <a:graphic>
              <a:graphicData uri="http://schemas.openxmlformats.org/drawingml/2006/picture">
                <pic:pic>
                  <pic:nvPicPr>
                    <pic:cNvPr descr="figures/Figure_3.jpg" id="26" name="Picture"/>
                    <pic:cNvPicPr>
                      <a:picLocks noChangeArrowheads="1" noChangeAspect="1"/>
                    </pic:cNvPicPr>
                  </pic:nvPicPr>
                  <pic:blipFill>
                    <a:blip r:embed="rId24"/>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AI alloy and (b) the Omori alloy. Samples were heat treated at 1200 °C for 1 minute. Black arrows show the deformation path; the red arrow highlights the strain recovery caused by heating.</w:t>
      </w:r>
    </w:p>
    <w:bookmarkEnd w:id="27"/>
    <w:bookmarkStart w:id="37"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Omori alloy is also clearly shown in</w:t>
      </w:r>
      <w:r>
        <w:t xml:space="preserve"> </w:t>
      </w:r>
      <w:r>
        <w:rPr>
          <w:b/>
          <w:bCs/>
        </w:rPr>
        <w:t xml:space="preserve">Fig. 6b</w:t>
      </w:r>
      <w:r>
        <w:t xml:space="preserve">.</w:t>
      </w:r>
    </w:p>
    <w:p>
      <w:pPr>
        <w:pStyle w:val="BodyText"/>
      </w:pPr>
      <w:r>
        <w:t xml:space="preserve">It is worth noting that the AI 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AI alloy annealed at 1200 °C for 1 min, (b) annealed AI alloy after 10% tensile strain, (c) Omori alloy annealed at 1200 °C for 1 min, and (d) annealed Omori alloy after 8% tensile strain." title="" id="29" name="Picture"/>
            <a:graphic>
              <a:graphicData uri="http://schemas.openxmlformats.org/drawingml/2006/picture">
                <pic:pic>
                  <pic:nvPicPr>
                    <pic:cNvPr descr="figures/Figure_4.jpg" id="30" name="Picture"/>
                    <pic:cNvPicPr>
                      <a:picLocks noChangeArrowheads="1" noChangeAspect="1"/>
                    </pic:cNvPicPr>
                  </pic:nvPicPr>
                  <pic:blipFill>
                    <a:blip r:embed="rId28"/>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AI alloy annealed at 1200 °C for 1 min, (b) annealed AI alloy after 10% tensile strain, (c) Omori alloy annealed at 1200 °C for 1 min, and (d) annealed Omori alloy after 8% tensile strain.</w:t>
      </w:r>
    </w:p>
    <w:p>
      <w:pPr>
        <w:pStyle w:val="CaptionedFigure"/>
      </w:pPr>
      <w:r>
        <w:drawing>
          <wp:inline>
            <wp:extent cx="2895600" cy="2313432"/>
            <wp:effectExtent b="0" l="0" r="0" t="0"/>
            <wp:docPr descr="Fig. 5. Comparison between synchrotron X-ray diffraction data (lower half) and results of Rietveld refinement (upper half) for the AI alloy heat treated at 1200 °C for 1 minute." title="" id="32" name="Picture"/>
            <a:graphic>
              <a:graphicData uri="http://schemas.openxmlformats.org/drawingml/2006/picture">
                <pic:pic>
                  <pic:nvPicPr>
                    <pic:cNvPr descr="figures/Figure_5.jpg" id="33" name="Picture"/>
                    <pic:cNvPicPr>
                      <a:picLocks noChangeArrowheads="1" noChangeAspect="1"/>
                    </pic:cNvPicPr>
                  </pic:nvPicPr>
                  <pic:blipFill>
                    <a:blip r:embed="rId31"/>
                    <a:stretch>
                      <a:fillRect/>
                    </a:stretch>
                  </pic:blipFill>
                  <pic:spPr bwMode="auto">
                    <a:xfrm>
                      <a:off x="0" y="0"/>
                      <a:ext cx="2895600" cy="231343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and results of Rietveld refinement (upper half) for the AI alloy heat treated at 1200 °C for 1 minute.</w:t>
      </w:r>
    </w:p>
    <w:p>
      <w:pPr>
        <w:pStyle w:val="CaptionedFigure"/>
      </w:pPr>
      <w:r>
        <w:drawing>
          <wp:inline>
            <wp:extent cx="2337816" cy="2709672"/>
            <wp:effectExtent b="0" l="0" r="0" t="0"/>
            <wp:docPr descr="Fig. 6. Azimuthally integrated X-ray diffraction spectra of (a) the AI alloy and (b) the Omori alloy before and after deformation. Samples were heat treated at 1200 °C for 1 minute before deformation." title="" id="35" name="Picture"/>
            <a:graphic>
              <a:graphicData uri="http://schemas.openxmlformats.org/drawingml/2006/picture">
                <pic:pic>
                  <pic:nvPicPr>
                    <pic:cNvPr descr="figures/Figure_6.jpg" id="36" name="Picture"/>
                    <pic:cNvPicPr>
                      <a:picLocks noChangeArrowheads="1" noChangeAspect="1"/>
                    </pic:cNvPicPr>
                  </pic:nvPicPr>
                  <pic:blipFill>
                    <a:blip r:embed="rId34"/>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AI alloy and (b) the Omori alloy before and after deformation. Samples were heat treated at 1200 °C for 1 minute before deformation.</w:t>
      </w:r>
    </w:p>
    <w:p>
      <w:r>
        <w:pict>
          <v:rect style="width:0;height:1.5pt" o:hralign="center" o:hrstd="t" o:hr="t"/>
        </w:pict>
      </w:r>
    </w:p>
    <w:bookmarkEnd w:id="37"/>
    <w:bookmarkEnd w:id="38"/>
    <w:bookmarkStart w:id="42" w:name="discussion"/>
    <w:p>
      <w:pPr>
        <w:pStyle w:val="Heading1"/>
      </w:pPr>
      <w:r>
        <w:t xml:space="preserve">4. Discussion</w:t>
      </w:r>
    </w:p>
    <w:bookmarkStart w:id="39" w:name="X58357b202da789a88ec9478e0111cd3c94b5213"/>
    <w:p>
      <w:pPr>
        <w:pStyle w:val="Heading2"/>
      </w:pPr>
      <w:r>
        <w:t xml:space="preserve">4.1 Origin of the absence of stress-induced phase transformation</w:t>
      </w:r>
    </w:p>
    <w:p>
      <w:pPr>
        <w:pStyle w:val="FirstParagraph"/>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w:t>
      </w:r>
      <w:r>
        <w:t xml:space="preserve"> </w:t>
      </w:r>
      <w:r>
        <w:t xml:space="preserve">(Ref 24)</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t>
      </w:r>
    </w:p>
    <w:p>
      <w:pPr>
        <w:pStyle w:val="BodyText"/>
      </w:pPr>
      <w:r>
        <w:t xml:space="preserve">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bookmarkEnd w:id="39"/>
    <w:bookmarkStart w:id="40" w:name="X14190cefc5af7e6c61eb8a7f0ac8ec72264613c"/>
    <w:p>
      <w:pPr>
        <w:pStyle w:val="Heading2"/>
      </w:pPr>
      <w:r>
        <w:t xml:space="preserve">4.2 Anneal-temperature dependence of mechanical properties</w:t>
      </w:r>
    </w:p>
    <w:p>
      <w:pPr>
        <w:pStyle w:val="FirstParagraph"/>
      </w:pPr>
      <w:r>
        <w:t xml:space="preserve">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bookmarkEnd w:id="40"/>
    <w:bookmarkStart w:id="41" w:name="implications-for-ai-guided-alloy-design"/>
    <w:p>
      <w:pPr>
        <w:pStyle w:val="Heading2"/>
      </w:pPr>
      <w:r>
        <w:t xml:space="preserve">4.3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1"/>
    <w:bookmarkEnd w:id="42"/>
    <w:bookmarkStart w:id="43"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3"/>
    <w:bookmarkStart w:id="44"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44"/>
    <w:bookmarkStart w:id="9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90" w:name="refs"/>
    <w:bookmarkStart w:id="46" w:name="ref-merchant2023gnome"/>
    <w:p>
      <w:pPr>
        <w:pStyle w:val="Bibliography"/>
      </w:pPr>
      <w:r>
        <w:t xml:space="preserve">1.</w:t>
      </w:r>
      <w:r>
        <w:t xml:space="preserve"> </w:t>
      </w:r>
      <w:r>
        <w:t xml:space="preserve">	</w:t>
      </w:r>
      <w:r>
        <w:t xml:space="preserve">A. Merchant, S. Batzner, S.S. Schoenholz, M. Aykol, G. Cheon, and E.D. Cubuk, Scaling Deep Learning for Materials Discovery,</w:t>
      </w:r>
      <w:r>
        <w:t xml:space="preserve"> </w:t>
      </w:r>
      <w:r>
        <w:rPr>
          <w:i/>
          <w:iCs/>
        </w:rPr>
        <w:t xml:space="preserve">Nature</w:t>
      </w:r>
      <w:r>
        <w:t xml:space="preserve">, 2023,</w:t>
      </w:r>
      <w:r>
        <w:t xml:space="preserve"> </w:t>
      </w:r>
      <w:r>
        <w:rPr>
          <w:b/>
          <w:bCs/>
        </w:rPr>
        <w:t xml:space="preserve">624</w:t>
      </w:r>
      <w:r>
        <w:t xml:space="preserve">, p 80–85.</w:t>
      </w:r>
      <w:r>
        <w:t xml:space="preserve"> </w:t>
      </w:r>
      <w:hyperlink r:id="rId45">
        <w:r>
          <w:rPr>
            <w:rStyle w:val="Hyperlink"/>
          </w:rPr>
          <w:t xml:space="preserve">https://doi.org/10.1038/s41586-023-06735-9</w:t>
        </w:r>
      </w:hyperlink>
    </w:p>
    <w:bookmarkEnd w:id="46"/>
    <w:bookmarkStart w:id="48" w:name="ref-comanici2025gemini"/>
    <w:p>
      <w:pPr>
        <w:pStyle w:val="Bibliography"/>
      </w:pPr>
      <w:r>
        <w:t xml:space="preserve">2.</w:t>
      </w:r>
      <w:r>
        <w:t xml:space="preserve"> </w:t>
      </w:r>
      <w:r>
        <w:t xml:space="preserve">	</w:t>
      </w:r>
      <w:r>
        <w:t xml:space="preserve">Google DeepMind,</w:t>
      </w:r>
      <w:r>
        <w:t xml:space="preserve"> </w:t>
      </w:r>
      <w:r>
        <w:t xml:space="preserve">“</w:t>
      </w:r>
      <w:r>
        <w:t xml:space="preserve">Gemini 2.5</w:t>
      </w:r>
      <w:r>
        <w:t xml:space="preserve">: Pushing the Frontier with Advanced Reasoning, Multimodality, Long Context, and Next-Generation Agentic Capabilities,”</w:t>
      </w:r>
      <w:r>
        <w:t xml:space="preserve"> </w:t>
      </w:r>
      <w:r>
        <w:t xml:space="preserve">2025.</w:t>
      </w:r>
      <w:r>
        <w:t xml:space="preserve"> </w:t>
      </w:r>
      <w:hyperlink r:id="rId47">
        <w:r>
          <w:rPr>
            <w:rStyle w:val="Hyperlink"/>
          </w:rPr>
          <w:t xml:space="preserve">https://arxiv.org/abs/2507.06261</w:t>
        </w:r>
      </w:hyperlink>
    </w:p>
    <w:bookmarkEnd w:id="48"/>
    <w:bookmarkStart w:id="50" w:name="ref-xu2025deepresearch"/>
    <w:p>
      <w:pPr>
        <w:pStyle w:val="Bibliography"/>
      </w:pPr>
      <w:r>
        <w:t xml:space="preserve">3.</w:t>
      </w:r>
      <w:r>
        <w:t xml:space="preserve"> </w:t>
      </w:r>
      <w:r>
        <w:t xml:space="preserve">	</w:t>
      </w:r>
      <w:r>
        <w:t xml:space="preserve">R. Xu and J. Peng,</w:t>
      </w:r>
      <w:r>
        <w:t xml:space="preserve"> </w:t>
      </w:r>
      <w:r>
        <w:t xml:space="preserve">“A Comprehensive Survey of Deep Research: Systems, Methodologies, and Applications,”</w:t>
      </w:r>
      <w:r>
        <w:t xml:space="preserve"> </w:t>
      </w:r>
      <w:r>
        <w:t xml:space="preserve">2025.</w:t>
      </w:r>
      <w:r>
        <w:t xml:space="preserve"> </w:t>
      </w:r>
      <w:hyperlink r:id="rId49">
        <w:r>
          <w:rPr>
            <w:rStyle w:val="Hyperlink"/>
          </w:rPr>
          <w:t xml:space="preserve">https://arxiv.org/abs/2506.12594</w:t>
        </w:r>
      </w:hyperlink>
    </w:p>
    <w:bookmarkEnd w:id="50"/>
    <w:bookmarkStart w:id="52" w:name="ref-aims2022"/>
    <w:p>
      <w:pPr>
        <w:pStyle w:val="Bibliography"/>
      </w:pPr>
      <w:r>
        <w:t xml:space="preserve">4.</w:t>
      </w:r>
      <w:r>
        <w:t xml:space="preserve"> </w:t>
      </w:r>
      <w:r>
        <w:t xml:space="preserve">	</w:t>
      </w:r>
      <w:r>
        <w:t xml:space="preserve">W. Trehern, R. Ortiz-Ayala, K.C. Atli, R. Arróyave, and I. Karaman, Data-Driven Shape Memory Alloy Discovery Using Artificial Intelligence Materials Selection (</w:t>
      </w:r>
      <w:r>
        <w:t xml:space="preserve">AIMS</w:t>
      </w:r>
      <w:r>
        <w:t xml:space="preserve">) Framework,</w:t>
      </w:r>
      <w:r>
        <w:t xml:space="preserve"> </w:t>
      </w:r>
      <w:r>
        <w:rPr>
          <w:i/>
          <w:iCs/>
        </w:rPr>
        <w:t xml:space="preserve">Acta Materialia</w:t>
      </w:r>
      <w:r>
        <w:t xml:space="preserve">, 2022,</w:t>
      </w:r>
      <w:r>
        <w:t xml:space="preserve"> </w:t>
      </w:r>
      <w:r>
        <w:rPr>
          <w:b/>
          <w:bCs/>
        </w:rPr>
        <w:t xml:space="preserve">228</w:t>
      </w:r>
      <w:r>
        <w:t xml:space="preserve">, p 117751.</w:t>
      </w:r>
      <w:r>
        <w:t xml:space="preserve"> </w:t>
      </w:r>
      <w:hyperlink r:id="rId51">
        <w:r>
          <w:rPr>
            <w:rStyle w:val="Hyperlink"/>
          </w:rPr>
          <w:t xml:space="preserve">https://doi.org/10.1016/j.actamat.2022.117751</w:t>
        </w:r>
      </w:hyperlink>
    </w:p>
    <w:bookmarkEnd w:id="52"/>
    <w:bookmarkStart w:id="54" w:name="ref-generativeinversion2025"/>
    <w:p>
      <w:pPr>
        <w:pStyle w:val="Bibliography"/>
      </w:pPr>
      <w:r>
        <w:t xml:space="preserve">5.</w:t>
      </w:r>
      <w:r>
        <w:t xml:space="preserve"> </w:t>
      </w:r>
      <w:r>
        <w:t xml:space="preserve">	</w:t>
      </w:r>
      <w:r>
        <w:t xml:space="preserve">C. Li, P. Dang, Y. Xian, Y. Zhou, B. Shi, X. Ding, J. Sun, and D. Xue, Generative Inverse Design for Property-Targeted Materials Design: Application to Shape Memory Alloys,</w:t>
      </w:r>
      <w:r>
        <w:t xml:space="preserve"> </w:t>
      </w:r>
      <w:r>
        <w:rPr>
          <w:i/>
          <w:iCs/>
        </w:rPr>
        <w:t xml:space="preserve">Advanced Functional Materials</w:t>
      </w:r>
      <w:r>
        <w:t xml:space="preserve">, 2026,</w:t>
      </w:r>
      <w:r>
        <w:t xml:space="preserve"> </w:t>
      </w:r>
      <w:r>
        <w:rPr>
          <w:b/>
          <w:bCs/>
        </w:rPr>
        <w:t xml:space="preserve">36</w:t>
      </w:r>
      <w:r>
        <w:t xml:space="preserve">, p 2527774.</w:t>
      </w:r>
      <w:r>
        <w:t xml:space="preserve"> </w:t>
      </w:r>
      <w:hyperlink r:id="rId53">
        <w:r>
          <w:rPr>
            <w:rStyle w:val="Hyperlink"/>
          </w:rPr>
          <w:t xml:space="preserve">https://doi.org/10.1002/adfm.202527774</w:t>
        </w:r>
      </w:hyperlink>
    </w:p>
    <w:bookmarkEnd w:id="54"/>
    <w:bookmarkStart w:id="56" w:name="ref-hu2024beyond"/>
    <w:p>
      <w:pPr>
        <w:pStyle w:val="Bibliography"/>
      </w:pPr>
      <w:r>
        <w:t xml:space="preserve">6.</w:t>
      </w:r>
      <w:r>
        <w:t xml:space="preserve"> </w:t>
      </w:r>
      <w:r>
        <w:t xml:space="preserve">	</w:t>
      </w:r>
      <w:r>
        <w:t xml:space="preserve">Q. Hu, R. Han, and M.J. Buehler,</w:t>
      </w:r>
      <w:r>
        <w:t xml:space="preserve"> </w:t>
      </w:r>
      <w:r>
        <w:t xml:space="preserve">“Beyond Designer’s Knowledge: Generating Materials Design Hypotheses via Large Language Models,”</w:t>
      </w:r>
      <w:r>
        <w:t xml:space="preserve"> </w:t>
      </w:r>
      <w:r>
        <w:t xml:space="preserve">2024.</w:t>
      </w:r>
      <w:r>
        <w:t xml:space="preserve"> </w:t>
      </w:r>
      <w:hyperlink r:id="rId55">
        <w:r>
          <w:rPr>
            <w:rStyle w:val="Hyperlink"/>
          </w:rPr>
          <w:t xml:space="preserve">https://arxiv.org/abs/2409.06756</w:t>
        </w:r>
      </w:hyperlink>
    </w:p>
    <w:bookmarkEnd w:id="56"/>
    <w:bookmarkStart w:id="57" w:name="ref-otsuka2005physical"/>
    <w:p>
      <w:pPr>
        <w:pStyle w:val="Bibliography"/>
      </w:pPr>
      <w:r>
        <w:t xml:space="preserve">7.</w:t>
      </w:r>
      <w:r>
        <w:t xml:space="preserve"> </w:t>
      </w:r>
      <w:r>
        <w:t xml:space="preserve">	</w:t>
      </w:r>
      <w:r>
        <w:t xml:space="preserve">K. Otsuka and C.M. Wayman,</w:t>
      </w:r>
      <w:r>
        <w:t xml:space="preserve"> </w:t>
      </w:r>
      <w:r>
        <w:t xml:space="preserve">“Physical Metallurgy of Titanium-Nickel-Based Shape Memory Alloys,”</w:t>
      </w:r>
      <w:r>
        <w:t xml:space="preserve"> </w:t>
      </w:r>
      <w:r>
        <w:t xml:space="preserve">(Cambridge, UK), Cambridge University Press, 1998.</w:t>
      </w:r>
    </w:p>
    <w:bookmarkEnd w:id="57"/>
    <w:bookmarkStart w:id="59" w:name="ref-lagoudas2008shape"/>
    <w:p>
      <w:pPr>
        <w:pStyle w:val="Bibliography"/>
      </w:pPr>
      <w:r>
        <w:t xml:space="preserve">8.</w:t>
      </w:r>
      <w:r>
        <w:t xml:space="preserve"> </w:t>
      </w:r>
      <w:r>
        <w:t xml:space="preserve">	</w:t>
      </w:r>
      <w:r>
        <w:t xml:space="preserve">D.C. Lagoudas, Ed.,</w:t>
      </w:r>
      <w:r>
        <w:t xml:space="preserve"> </w:t>
      </w:r>
      <w:r>
        <w:t xml:space="preserve">“Shape Memory Alloys: Modeling and Engineering Applications,”</w:t>
      </w:r>
      <w:r>
        <w:t xml:space="preserve"> </w:t>
      </w:r>
      <w:r>
        <w:t xml:space="preserve">(New York), Springer, 2008.</w:t>
      </w:r>
      <w:r>
        <w:t xml:space="preserve"> </w:t>
      </w:r>
      <w:hyperlink r:id="rId58">
        <w:r>
          <w:rPr>
            <w:rStyle w:val="Hyperlink"/>
          </w:rPr>
          <w:t xml:space="preserve">https://doi.org/10.1007/978-0-387-47685-8</w:t>
        </w:r>
      </w:hyperlink>
    </w:p>
    <w:bookmarkEnd w:id="59"/>
    <w:bookmarkStart w:id="61" w:name="ref-duerig1999overview"/>
    <w:p>
      <w:pPr>
        <w:pStyle w:val="Bibliography"/>
      </w:pPr>
      <w:r>
        <w:t xml:space="preserve">9.</w:t>
      </w:r>
      <w:r>
        <w:t xml:space="preserve"> </w:t>
      </w:r>
      <w:r>
        <w:t xml:space="preserve">	</w:t>
      </w:r>
      <w:r>
        <w:t xml:space="preserve">T. Duerig, A. Pelton, and D. Stöckel, An Overview of Nitinol Medical Applications,</w:t>
      </w:r>
      <w:r>
        <w:t xml:space="preserve"> </w:t>
      </w:r>
      <w:r>
        <w:rPr>
          <w:i/>
          <w:iCs/>
        </w:rPr>
        <w:t xml:space="preserve">Materials Science and Engineering: A</w:t>
      </w:r>
      <w:r>
        <w:t xml:space="preserve">, 1999,</w:t>
      </w:r>
      <w:r>
        <w:t xml:space="preserve"> </w:t>
      </w:r>
      <w:r>
        <w:rPr>
          <w:b/>
          <w:bCs/>
        </w:rPr>
        <w:t xml:space="preserve">273–275</w:t>
      </w:r>
      <w:r>
        <w:t xml:space="preserve">, p 149–160.</w:t>
      </w:r>
      <w:r>
        <w:t xml:space="preserve"> </w:t>
      </w:r>
      <w:hyperlink r:id="rId60">
        <w:r>
          <w:rPr>
            <w:rStyle w:val="Hyperlink"/>
          </w:rPr>
          <w:t xml:space="preserve">https://doi.org/10.1016/S0921-5093(99)00294-4</w:t>
        </w:r>
      </w:hyperlink>
    </w:p>
    <w:bookmarkEnd w:id="61"/>
    <w:bookmarkStart w:id="63" w:name="ref-mohd2014nitinol"/>
    <w:p>
      <w:pPr>
        <w:pStyle w:val="Bibliography"/>
      </w:pPr>
      <w:r>
        <w:t xml:space="preserve">10.</w:t>
      </w:r>
      <w:r>
        <w:t xml:space="preserve"> </w:t>
      </w:r>
      <w:r>
        <w:t xml:space="preserve">	</w:t>
      </w:r>
      <w:r>
        <w:t xml:space="preserve">J. Mohd Jani, M. Leary, A. Subic, and M.A. Gibson, A Review of Shape Memory Alloy Research, Applications and Opportunities,</w:t>
      </w:r>
      <w:r>
        <w:t xml:space="preserve"> </w:t>
      </w:r>
      <w:r>
        <w:rPr>
          <w:i/>
          <w:iCs/>
        </w:rPr>
        <w:t xml:space="preserve">Materials</w:t>
      </w:r>
      <w:r>
        <w:rPr>
          <w:i/>
          <w:iCs/>
        </w:rPr>
        <w:t xml:space="preserve"> </w:t>
      </w:r>
      <w:r>
        <w:rPr>
          <w:i/>
          <w:iCs/>
        </w:rPr>
        <w:t xml:space="preserve">&amp;</w:t>
      </w:r>
      <w:r>
        <w:rPr>
          <w:i/>
          <w:iCs/>
        </w:rPr>
        <w:t xml:space="preserve"> </w:t>
      </w:r>
      <w:r>
        <w:rPr>
          <w:i/>
          <w:iCs/>
        </w:rPr>
        <w:t xml:space="preserve">Design</w:t>
      </w:r>
      <w:r>
        <w:t xml:space="preserve">, 2014,</w:t>
      </w:r>
      <w:r>
        <w:t xml:space="preserve"> </w:t>
      </w:r>
      <w:r>
        <w:rPr>
          <w:b/>
          <w:bCs/>
        </w:rPr>
        <w:t xml:space="preserve">56</w:t>
      </w:r>
      <w:r>
        <w:t xml:space="preserve">, p 1078–1113.</w:t>
      </w:r>
      <w:r>
        <w:t xml:space="preserve"> </w:t>
      </w:r>
      <w:hyperlink r:id="rId62">
        <w:r>
          <w:rPr>
            <w:rStyle w:val="Hyperlink"/>
          </w:rPr>
          <w:t xml:space="preserve">https://doi.org/10.1016/j.matdes.2013.11.084</w:t>
        </w:r>
      </w:hyperlink>
    </w:p>
    <w:bookmarkEnd w:id="63"/>
    <w:bookmarkStart w:id="65" w:name="ref-cladera2014ironbased"/>
    <w:p>
      <w:pPr>
        <w:pStyle w:val="Bibliography"/>
      </w:pPr>
      <w:r>
        <w:t xml:space="preserve">11.</w:t>
      </w:r>
      <w:r>
        <w:t xml:space="preserve"> </w:t>
      </w:r>
      <w:r>
        <w:t xml:space="preserve">	</w:t>
      </w:r>
      <w:r>
        <w:t xml:space="preserve">A. Cladera, B. Weber, C. Leinenbach, C. Czaderski, M. Shahverdi, and M. Motavalli, Iron-Based Shape Memory Alloys for Civil Engineering Structures: An Overview,</w:t>
      </w:r>
      <w:r>
        <w:t xml:space="preserve"> </w:t>
      </w:r>
      <w:r>
        <w:rPr>
          <w:i/>
          <w:iCs/>
        </w:rPr>
        <w:t xml:space="preserve">Construction and Building Materials</w:t>
      </w:r>
      <w:r>
        <w:t xml:space="preserve">, 2014,</w:t>
      </w:r>
      <w:r>
        <w:t xml:space="preserve"> </w:t>
      </w:r>
      <w:r>
        <w:rPr>
          <w:b/>
          <w:bCs/>
        </w:rPr>
        <w:t xml:space="preserve">63</w:t>
      </w:r>
      <w:r>
        <w:t xml:space="preserve">, p 281–293.</w:t>
      </w:r>
      <w:r>
        <w:t xml:space="preserve"> </w:t>
      </w:r>
      <w:hyperlink r:id="rId64">
        <w:r>
          <w:rPr>
            <w:rStyle w:val="Hyperlink"/>
          </w:rPr>
          <w:t xml:space="preserve">https://doi.org/10.1016/j.conbuildmat.2014.04.032</w:t>
        </w:r>
      </w:hyperlink>
    </w:p>
    <w:bookmarkEnd w:id="65"/>
    <w:bookmarkStart w:id="67" w:name="ref-omori2011superelastic"/>
    <w:p>
      <w:pPr>
        <w:pStyle w:val="Bibliography"/>
      </w:pPr>
      <w:r>
        <w:t xml:space="preserve">12.</w:t>
      </w:r>
      <w:r>
        <w:t xml:space="preserve"> </w:t>
      </w:r>
      <w:r>
        <w:t xml:space="preserve">	</w:t>
      </w:r>
      <w:r>
        <w:t xml:space="preserve">T. Omori, K. Ando, M. Okano, X. Xu, Y. Tanaka, I. Ohnuma, R. Kainuma, and K. Ishida, Superelastic Effect in Polycrystalline Ferrous Alloys,</w:t>
      </w:r>
      <w:r>
        <w:t xml:space="preserve"> </w:t>
      </w:r>
      <w:r>
        <w:rPr>
          <w:i/>
          <w:iCs/>
        </w:rPr>
        <w:t xml:space="preserve">Science</w:t>
      </w:r>
      <w:r>
        <w:t xml:space="preserve">, 2011,</w:t>
      </w:r>
      <w:r>
        <w:t xml:space="preserve"> </w:t>
      </w:r>
      <w:r>
        <w:rPr>
          <w:b/>
          <w:bCs/>
        </w:rPr>
        <w:t xml:space="preserve">333</w:t>
      </w:r>
      <w:r>
        <w:t xml:space="preserve">(6038), p 68–71.</w:t>
      </w:r>
      <w:r>
        <w:t xml:space="preserve"> </w:t>
      </w:r>
      <w:hyperlink r:id="rId66">
        <w:r>
          <w:rPr>
            <w:rStyle w:val="Hyperlink"/>
          </w:rPr>
          <w:t xml:space="preserve">https://doi.org/10.1126/science.1202232</w:t>
        </w:r>
      </w:hyperlink>
    </w:p>
    <w:bookmarkEnd w:id="67"/>
    <w:bookmarkStart w:id="69" w:name="ref-vollmer2016cyclic"/>
    <w:p>
      <w:pPr>
        <w:pStyle w:val="Bibliography"/>
      </w:pPr>
      <w:r>
        <w:t xml:space="preserve">13.</w:t>
      </w:r>
      <w:r>
        <w:t xml:space="preserve"> </w:t>
      </w:r>
      <w:r>
        <w:t xml:space="preserve">	</w:t>
      </w:r>
      <w:r>
        <w:t xml:space="preserve">M. Vollmer, P. Krooß, M.J. Kriegel, V. Klemm, C. Somsen, H. Ozcan, I. Karaman, A. Weidner, D. Rafaja, H. Biermann, and T. Niendorf, Cyclic Degradation in Bamboo-Like</w:t>
      </w:r>
      <w:r>
        <w:t xml:space="preserve"> </w:t>
      </w:r>
      <w:r>
        <w:t xml:space="preserve">Fe-Mn-Al-Ni</w:t>
      </w:r>
      <w:r>
        <w:t xml:space="preserve"> </w:t>
      </w:r>
      <w:r>
        <w:t xml:space="preserve">Shape Memory Alloys: The Role of Grain Orientation,</w:t>
      </w:r>
      <w:r>
        <w:t xml:space="preserve"> </w:t>
      </w:r>
      <w:r>
        <w:rPr>
          <w:i/>
          <w:iCs/>
        </w:rPr>
        <w:t xml:space="preserve">Scripta Materialia</w:t>
      </w:r>
      <w:r>
        <w:t xml:space="preserve">, 2016,</w:t>
      </w:r>
      <w:r>
        <w:t xml:space="preserve"> </w:t>
      </w:r>
      <w:r>
        <w:rPr>
          <w:b/>
          <w:bCs/>
        </w:rPr>
        <w:t xml:space="preserve">114</w:t>
      </w:r>
      <w:r>
        <w:t xml:space="preserve">, p 156–160.</w:t>
      </w:r>
      <w:r>
        <w:t xml:space="preserve"> </w:t>
      </w:r>
      <w:hyperlink r:id="rId68">
        <w:r>
          <w:rPr>
            <w:rStyle w:val="Hyperlink"/>
          </w:rPr>
          <w:t xml:space="preserve">https://doi.org/10.1016/j.scriptamat.2015.12.007</w:t>
        </w:r>
      </w:hyperlink>
    </w:p>
    <w:bookmarkEnd w:id="69"/>
    <w:bookmarkStart w:id="71" w:name="ref-abuzaid2019femnnial"/>
    <w:p>
      <w:pPr>
        <w:pStyle w:val="Bibliography"/>
      </w:pPr>
      <w:r>
        <w:t xml:space="preserve">14.</w:t>
      </w:r>
      <w:r>
        <w:t xml:space="preserve"> </w:t>
      </w:r>
      <w:r>
        <w:t xml:space="preserve">	</w:t>
      </w:r>
      <w:r>
        <w:t xml:space="preserve">W. Abuzaid, Y. Wu, R. Sidharth, F. Brenne, S. Alkan, M. Vollmer, P. Krooß, T. Niendorf, and H. Sehitoglu,</w:t>
      </w:r>
      <w:r>
        <w:t xml:space="preserve"> </w:t>
      </w:r>
      <w:r>
        <w:t xml:space="preserve">FeMnNiAl</w:t>
      </w:r>
      <w:r>
        <w:t xml:space="preserve"> </w:t>
      </w:r>
      <w:r>
        <w:t xml:space="preserve">Iron-Based Shape Memory Alloy: Promises and Challenges,</w:t>
      </w:r>
      <w:r>
        <w:t xml:space="preserve"> </w:t>
      </w:r>
      <w:r>
        <w:rPr>
          <w:i/>
          <w:iCs/>
        </w:rPr>
        <w:t xml:space="preserve">Shape Memory and Superelasticity</w:t>
      </w:r>
      <w:r>
        <w:t xml:space="preserve">, 2019,</w:t>
      </w:r>
      <w:r>
        <w:t xml:space="preserve"> </w:t>
      </w:r>
      <w:r>
        <w:rPr>
          <w:b/>
          <w:bCs/>
        </w:rPr>
        <w:t xml:space="preserve">5</w:t>
      </w:r>
      <w:r>
        <w:t xml:space="preserve">, p 384–396.</w:t>
      </w:r>
      <w:r>
        <w:t xml:space="preserve"> </w:t>
      </w:r>
      <w:hyperlink r:id="rId70">
        <w:r>
          <w:rPr>
            <w:rStyle w:val="Hyperlink"/>
          </w:rPr>
          <w:t xml:space="preserve">https://doi.org/10.1007/s40830-019-00230-9</w:t>
        </w:r>
      </w:hyperlink>
    </w:p>
    <w:bookmarkEnd w:id="71"/>
    <w:bookmarkStart w:id="73" w:name="ref-omori2017martensitic"/>
    <w:p>
      <w:pPr>
        <w:pStyle w:val="Bibliography"/>
      </w:pPr>
      <w:r>
        <w:t xml:space="preserve">15.</w:t>
      </w:r>
      <w:r>
        <w:t xml:space="preserve"> </w:t>
      </w:r>
      <w:r>
        <w:t xml:space="preserve">	</w:t>
      </w:r>
      <w:r>
        <w:t xml:space="preserve">T. Omori and R. Kainuma, Martensitic Transformation and Superelasticity in Fe-Mn-Al-Based Shape Memory Alloys,</w:t>
      </w:r>
      <w:r>
        <w:t xml:space="preserve"> </w:t>
      </w:r>
      <w:r>
        <w:rPr>
          <w:i/>
          <w:iCs/>
        </w:rPr>
        <w:t xml:space="preserve">Shape Memory and Superelasticity</w:t>
      </w:r>
      <w:r>
        <w:t xml:space="preserve">, 2017,</w:t>
      </w:r>
      <w:r>
        <w:t xml:space="preserve"> </w:t>
      </w:r>
      <w:r>
        <w:rPr>
          <w:b/>
          <w:bCs/>
        </w:rPr>
        <w:t xml:space="preserve">3</w:t>
      </w:r>
      <w:r>
        <w:t xml:space="preserve">, p 322–334.</w:t>
      </w:r>
      <w:r>
        <w:t xml:space="preserve"> </w:t>
      </w:r>
      <w:hyperlink r:id="rId72">
        <w:r>
          <w:rPr>
            <w:rStyle w:val="Hyperlink"/>
          </w:rPr>
          <w:t xml:space="preserve">https://doi.org/10.1007/s40830-017-0129-9</w:t>
        </w:r>
      </w:hyperlink>
    </w:p>
    <w:bookmarkEnd w:id="73"/>
    <w:bookmarkStart w:id="75" w:name="ref-omori2016agg"/>
    <w:p>
      <w:pPr>
        <w:pStyle w:val="Bibliography"/>
      </w:pPr>
      <w:r>
        <w:t xml:space="preserve">16.</w:t>
      </w:r>
      <w:r>
        <w:t xml:space="preserve"> </w:t>
      </w:r>
      <w:r>
        <w:t xml:space="preserve">	</w:t>
      </w:r>
      <w:r>
        <w:t xml:space="preserve">T. Omori, H. Iwaizako, and R. Kainuma, Abnormal Grain Growth Induced by Cyclic Heat Treatment in</w:t>
      </w:r>
      <w:r>
        <w:t xml:space="preserve"> </w:t>
      </w:r>
      <w:r>
        <w:t xml:space="preserve">Fe-Mn-Al-Ni</w:t>
      </w:r>
      <w:r>
        <w:t xml:space="preserve"> </w:t>
      </w:r>
      <w:r>
        <w:t xml:space="preserve">Superelastic Alloy,</w:t>
      </w:r>
      <w:r>
        <w:t xml:space="preserve"> </w:t>
      </w:r>
      <w:r>
        <w:rPr>
          <w:i/>
          <w:iCs/>
        </w:rPr>
        <w:t xml:space="preserve">Materials</w:t>
      </w:r>
      <w:r>
        <w:rPr>
          <w:i/>
          <w:iCs/>
        </w:rPr>
        <w:t xml:space="preserve"> </w:t>
      </w:r>
      <w:r>
        <w:rPr>
          <w:i/>
          <w:iCs/>
        </w:rPr>
        <w:t xml:space="preserve">&amp;</w:t>
      </w:r>
      <w:r>
        <w:rPr>
          <w:i/>
          <w:iCs/>
        </w:rPr>
        <w:t xml:space="preserve"> </w:t>
      </w:r>
      <w:r>
        <w:rPr>
          <w:i/>
          <w:iCs/>
        </w:rPr>
        <w:t xml:space="preserve">Design</w:t>
      </w:r>
      <w:r>
        <w:t xml:space="preserve">, 2016,</w:t>
      </w:r>
      <w:r>
        <w:t xml:space="preserve"> </w:t>
      </w:r>
      <w:r>
        <w:rPr>
          <w:b/>
          <w:bCs/>
        </w:rPr>
        <w:t xml:space="preserve">101</w:t>
      </w:r>
      <w:r>
        <w:t xml:space="preserve">, p 263–269.</w:t>
      </w:r>
      <w:r>
        <w:t xml:space="preserve"> </w:t>
      </w:r>
      <w:hyperlink r:id="rId74">
        <w:r>
          <w:rPr>
            <w:rStyle w:val="Hyperlink"/>
          </w:rPr>
          <w:t xml:space="preserve">https://doi.org/10.1016/j.matdes.2016.04.011</w:t>
        </w:r>
      </w:hyperlink>
    </w:p>
    <w:bookmarkEnd w:id="75"/>
    <w:bookmarkStart w:id="77" w:name="ref-tai2024ssrf"/>
    <w:p>
      <w:pPr>
        <w:pStyle w:val="Bibliography"/>
      </w:pPr>
      <w:r>
        <w:t xml:space="preserve">17.</w:t>
      </w:r>
      <w:r>
        <w:t xml:space="preserve"> </w:t>
      </w:r>
      <w:r>
        <w:t xml:space="preserve">	</w:t>
      </w:r>
      <w:r>
        <w:t xml:space="preserve">R.Z. Tai and Z.T. Zhao, Overview of</w:t>
      </w:r>
      <w:r>
        <w:t xml:space="preserve"> </w:t>
      </w:r>
      <w:r>
        <w:t xml:space="preserve">SSRF</w:t>
      </w:r>
      <w:r>
        <w:t xml:space="preserve"> </w:t>
      </w:r>
      <w:r>
        <w:t xml:space="preserve">Phase-</w:t>
      </w:r>
      <w:r>
        <w:t xml:space="preserve">II</w:t>
      </w:r>
      <w:r>
        <w:t xml:space="preserve"> </w:t>
      </w:r>
      <w:r>
        <w:t xml:space="preserve">Beamlines,</w:t>
      </w:r>
      <w:r>
        <w:t xml:space="preserve"> </w:t>
      </w:r>
      <w:r>
        <w:rPr>
          <w:i/>
          <w:iCs/>
        </w:rPr>
        <w:t xml:space="preserve">Nuclear Science and Techniques</w:t>
      </w:r>
      <w:r>
        <w:t xml:space="preserve">, 2024,</w:t>
      </w:r>
      <w:r>
        <w:t xml:space="preserve"> </w:t>
      </w:r>
      <w:r>
        <w:rPr>
          <w:b/>
          <w:bCs/>
        </w:rPr>
        <w:t xml:space="preserve">35</w:t>
      </w:r>
      <w:r>
        <w:t xml:space="preserve">, p 137.</w:t>
      </w:r>
      <w:r>
        <w:t xml:space="preserve"> </w:t>
      </w:r>
      <w:hyperlink r:id="rId76">
        <w:r>
          <w:rPr>
            <w:rStyle w:val="Hyperlink"/>
          </w:rPr>
          <w:t xml:space="preserve">https://doi.org/10.1007/s41365-024-01487-1</w:t>
        </w:r>
      </w:hyperlink>
    </w:p>
    <w:bookmarkEnd w:id="77"/>
    <w:bookmarkStart w:id="79" w:name="ref-yang2024ssrf"/>
    <w:p>
      <w:pPr>
        <w:pStyle w:val="Bibliography"/>
      </w:pPr>
      <w:r>
        <w:t xml:space="preserve">18.</w:t>
      </w:r>
      <w:r>
        <w:t xml:space="preserve"> </w:t>
      </w:r>
      <w:r>
        <w:t xml:space="preserve">	</w:t>
      </w:r>
      <w:r>
        <w:t xml:space="preserve">K. Yang, Z.-H. Dong, C.-Y. Zhou, Z.-L. Zhao, D.-X. Liang, S.-C. Cao, et al.</w:t>
      </w:r>
      <w:r>
        <w:t xml:space="preserve">, Ultrahard</w:t>
      </w:r>
      <w:r>
        <w:t xml:space="preserve"> </w:t>
      </w:r>
      <w:r>
        <w:t xml:space="preserve">X-ray</w:t>
      </w:r>
      <w:r>
        <w:t xml:space="preserve"> </w:t>
      </w:r>
      <w:r>
        <w:t xml:space="preserve">Multifunctional Application Beamline at the</w:t>
      </w:r>
      <w:r>
        <w:t xml:space="preserve"> </w:t>
      </w:r>
      <w:r>
        <w:t xml:space="preserve">SSRF</w:t>
      </w:r>
      <w:r>
        <w:t xml:space="preserve">,</w:t>
      </w:r>
      <w:r>
        <w:t xml:space="preserve"> </w:t>
      </w:r>
      <w:r>
        <w:rPr>
          <w:i/>
          <w:iCs/>
        </w:rPr>
        <w:t xml:space="preserve">Nuclear Science and Techniques</w:t>
      </w:r>
      <w:r>
        <w:t xml:space="preserve">, 2024,</w:t>
      </w:r>
      <w:r>
        <w:t xml:space="preserve"> </w:t>
      </w:r>
      <w:r>
        <w:rPr>
          <w:b/>
          <w:bCs/>
        </w:rPr>
        <w:t xml:space="preserve">35</w:t>
      </w:r>
      <w:r>
        <w:t xml:space="preserve">, p 98.</w:t>
      </w:r>
      <w:r>
        <w:t xml:space="preserve"> </w:t>
      </w:r>
      <w:hyperlink r:id="rId78">
        <w:r>
          <w:rPr>
            <w:rStyle w:val="Hyperlink"/>
          </w:rPr>
          <w:t xml:space="preserve">https://doi.org/10.1007/s41365-024-01468-4</w:t>
        </w:r>
      </w:hyperlink>
    </w:p>
    <w:bookmarkEnd w:id="79"/>
    <w:bookmarkStart w:id="80" w:name="ref-hammersley1998fit2d"/>
    <w:p>
      <w:pPr>
        <w:pStyle w:val="Bibliography"/>
      </w:pPr>
      <w:r>
        <w:t xml:space="preserve">19.</w:t>
      </w:r>
      <w:r>
        <w:t xml:space="preserve"> </w:t>
      </w:r>
      <w:r>
        <w:t xml:space="preserve">	</w:t>
      </w:r>
      <w:r>
        <w:t xml:space="preserve">A.P. Hammersley,</w:t>
      </w:r>
      <w:r>
        <w:t xml:space="preserve"> </w:t>
      </w:r>
      <w:r>
        <w:t xml:space="preserve">“</w:t>
      </w:r>
      <w:r>
        <w:t xml:space="preserve">FIT2D</w:t>
      </w:r>
      <w:r>
        <w:t xml:space="preserve"> </w:t>
      </w:r>
      <w:r>
        <w:t xml:space="preserve">V9.129 Reference Manual V3.1,”</w:t>
      </w:r>
      <w:r>
        <w:t xml:space="preserve"> </w:t>
      </w:r>
      <w:r>
        <w:t xml:space="preserve">(Grenoble), 1998.</w:t>
      </w:r>
    </w:p>
    <w:bookmarkEnd w:id="80"/>
    <w:bookmarkStart w:id="82" w:name="ref-rietveld1969"/>
    <w:p>
      <w:pPr>
        <w:pStyle w:val="Bibliography"/>
      </w:pPr>
      <w:r>
        <w:t xml:space="preserve">20.</w:t>
      </w:r>
      <w:r>
        <w:t xml:space="preserve"> </w:t>
      </w:r>
      <w:r>
        <w:t xml:space="preserve">	</w:t>
      </w:r>
      <w:r>
        <w:t xml:space="preserve">H.M. Rietveld, A Profile Refinement Method for Nuclear and Magnetic Structures,</w:t>
      </w:r>
      <w:r>
        <w:t xml:space="preserve"> </w:t>
      </w:r>
      <w:r>
        <w:rPr>
          <w:i/>
          <w:iCs/>
        </w:rPr>
        <w:t xml:space="preserve">Journal of Applied Crystallography</w:t>
      </w:r>
      <w:r>
        <w:t xml:space="preserve">, 1969,</w:t>
      </w:r>
      <w:r>
        <w:t xml:space="preserve"> </w:t>
      </w:r>
      <w:r>
        <w:rPr>
          <w:b/>
          <w:bCs/>
        </w:rPr>
        <w:t xml:space="preserve">2</w:t>
      </w:r>
      <w:r>
        <w:t xml:space="preserve">, p 65–71.</w:t>
      </w:r>
      <w:r>
        <w:t xml:space="preserve"> </w:t>
      </w:r>
      <w:hyperlink r:id="rId81">
        <w:r>
          <w:rPr>
            <w:rStyle w:val="Hyperlink"/>
          </w:rPr>
          <w:t xml:space="preserve">https://doi.org/10.1107/S0021889869006558</w:t>
        </w:r>
      </w:hyperlink>
    </w:p>
    <w:bookmarkEnd w:id="82"/>
    <w:bookmarkStart w:id="84" w:name="ref-lutterotti1997maud"/>
    <w:p>
      <w:pPr>
        <w:pStyle w:val="Bibliography"/>
      </w:pPr>
      <w:r>
        <w:t xml:space="preserve">21.</w:t>
      </w:r>
      <w:r>
        <w:t xml:space="preserve"> </w:t>
      </w:r>
      <w:r>
        <w:t xml:space="preserve">	</w:t>
      </w:r>
      <w:r>
        <w:t xml:space="preserve">L. Lutterotti, S. Matthies, H.R. Wenk, A.S. Schultz, and J.W. Richardson, Combined Texture and Structure Analysis of Deformed Limestone from Time-of-Flight Neutron Diffraction Spectra,</w:t>
      </w:r>
      <w:r>
        <w:t xml:space="preserve"> </w:t>
      </w:r>
      <w:r>
        <w:rPr>
          <w:i/>
          <w:iCs/>
        </w:rPr>
        <w:t xml:space="preserve">Journal of Applied Physics</w:t>
      </w:r>
      <w:r>
        <w:t xml:space="preserve">, 1997,</w:t>
      </w:r>
      <w:r>
        <w:t xml:space="preserve"> </w:t>
      </w:r>
      <w:r>
        <w:rPr>
          <w:b/>
          <w:bCs/>
        </w:rPr>
        <w:t xml:space="preserve">81</w:t>
      </w:r>
      <w:r>
        <w:t xml:space="preserve">, p 594–600.</w:t>
      </w:r>
      <w:r>
        <w:t xml:space="preserve"> </w:t>
      </w:r>
      <w:hyperlink r:id="rId83">
        <w:r>
          <w:rPr>
            <w:rStyle w:val="Hyperlink"/>
          </w:rPr>
          <w:t xml:space="preserve">https://doi.org/10.1063/1.364220</w:t>
        </w:r>
      </w:hyperlink>
    </w:p>
    <w:bookmarkEnd w:id="84"/>
    <w:bookmarkStart w:id="86" w:name="ref-tanaka2010science"/>
    <w:p>
      <w:pPr>
        <w:pStyle w:val="Bibliography"/>
      </w:pPr>
      <w:r>
        <w:t xml:space="preserve">22.</w:t>
      </w:r>
      <w:r>
        <w:t xml:space="preserve"> </w:t>
      </w:r>
      <w:r>
        <w:t xml:space="preserve">	</w:t>
      </w:r>
      <w:r>
        <w:t xml:space="preserve">Y. Tanaka, Y. Himuro, R. Kainuma, Y. Sutou, T. Omori, and K. Ishida, Ferrous Polycrystalline Shape-Memory Alloy Showing Huge Superelasticity,</w:t>
      </w:r>
      <w:r>
        <w:t xml:space="preserve"> </w:t>
      </w:r>
      <w:r>
        <w:rPr>
          <w:i/>
          <w:iCs/>
        </w:rPr>
        <w:t xml:space="preserve">Science</w:t>
      </w:r>
      <w:r>
        <w:t xml:space="preserve">, 2010,</w:t>
      </w:r>
      <w:r>
        <w:t xml:space="preserve"> </w:t>
      </w:r>
      <w:r>
        <w:rPr>
          <w:b/>
          <w:bCs/>
        </w:rPr>
        <w:t xml:space="preserve">327</w:t>
      </w:r>
      <w:r>
        <w:t xml:space="preserve">, p 1488–1490.</w:t>
      </w:r>
      <w:r>
        <w:t xml:space="preserve"> </w:t>
      </w:r>
      <w:hyperlink r:id="rId85">
        <w:r>
          <w:rPr>
            <w:rStyle w:val="Hyperlink"/>
          </w:rPr>
          <w:t xml:space="preserve">https://doi.org/10.1126/science.1183169</w:t>
        </w:r>
      </w:hyperlink>
    </w:p>
    <w:bookmarkEnd w:id="86"/>
    <w:bookmarkStart w:id="88" w:name="ref-vollmer2019natcomm"/>
    <w:p>
      <w:pPr>
        <w:pStyle w:val="Bibliography"/>
      </w:pPr>
      <w:r>
        <w:t xml:space="preserve">23.</w:t>
      </w:r>
      <w:r>
        <w:t xml:space="preserve"> </w:t>
      </w:r>
      <w:r>
        <w:t xml:space="preserve">	</w:t>
      </w:r>
      <w:r>
        <w:t xml:space="preserve">M. Vollmer, T. Arold, M.J. Kriegel, V. Klemm, S. Degener, J. Freudenberger, and T. Niendorf, Promoting Abnormal Grain Growth in</w:t>
      </w:r>
      <w:r>
        <w:t xml:space="preserve"> </w:t>
      </w:r>
      <w:r>
        <w:t xml:space="preserve">Fe</w:t>
      </w:r>
      <w:r>
        <w:t xml:space="preserve">-Based Shape Memory Alloys Through Compositional Adjustments,</w:t>
      </w:r>
      <w:r>
        <w:t xml:space="preserve"> </w:t>
      </w:r>
      <w:r>
        <w:rPr>
          <w:i/>
          <w:iCs/>
        </w:rPr>
        <w:t xml:space="preserve">Nature Communications</w:t>
      </w:r>
      <w:r>
        <w:t xml:space="preserve">, 2019,</w:t>
      </w:r>
      <w:r>
        <w:t xml:space="preserve"> </w:t>
      </w:r>
      <w:r>
        <w:rPr>
          <w:b/>
          <w:bCs/>
        </w:rPr>
        <w:t xml:space="preserve">10</w:t>
      </w:r>
      <w:r>
        <w:t xml:space="preserve">, p 2337.</w:t>
      </w:r>
      <w:r>
        <w:t xml:space="preserve"> </w:t>
      </w:r>
      <w:hyperlink r:id="rId87">
        <w:r>
          <w:rPr>
            <w:rStyle w:val="Hyperlink"/>
          </w:rPr>
          <w:t xml:space="preserve">https://doi.org/10.1038/s41467-019-10308-8</w:t>
        </w:r>
      </w:hyperlink>
    </w:p>
    <w:bookmarkEnd w:id="88"/>
    <w:bookmarkStart w:id="89" w:name="ref-bhadeshia2010steels"/>
    <w:p>
      <w:pPr>
        <w:pStyle w:val="Bibliography"/>
      </w:pPr>
      <w:r>
        <w:t xml:space="preserve">24.</w:t>
      </w:r>
      <w:r>
        <w:t xml:space="preserve"> </w:t>
      </w:r>
      <w:r>
        <w:t xml:space="preserve">	</w:t>
      </w:r>
      <w:r>
        <w:t xml:space="preserve">H.K.D.H. Bhadeshia and R.W.K. Honeycombe,</w:t>
      </w:r>
      <w:r>
        <w:t xml:space="preserve"> </w:t>
      </w:r>
      <w:r>
        <w:t xml:space="preserve">“Steels: Microstructure and Properties,”</w:t>
      </w:r>
      <w:r>
        <w:t xml:space="preserve"> </w:t>
      </w:r>
      <w:r>
        <w:t xml:space="preserve">Fourth, (Oxford), Elsevier Butterworth-Heinemann, 2017.</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abs/2409.06756" TargetMode="External" /><Relationship Type="http://schemas.openxmlformats.org/officeDocument/2006/relationships/hyperlink" Id="rId49" Target="https://arxiv.org/abs/2506.12594" TargetMode="External" /><Relationship Type="http://schemas.openxmlformats.org/officeDocument/2006/relationships/hyperlink" Id="rId47" Target="https://arxiv.org/abs/2507.06261" TargetMode="External" /><Relationship Type="http://schemas.openxmlformats.org/officeDocument/2006/relationships/hyperlink" Id="rId53" Target="https://doi.org/10.1002/adfm.202527774" TargetMode="External" /><Relationship Type="http://schemas.openxmlformats.org/officeDocument/2006/relationships/hyperlink" Id="rId58" Target="https://doi.org/10.1007/978-0-387-47685-8" TargetMode="External" /><Relationship Type="http://schemas.openxmlformats.org/officeDocument/2006/relationships/hyperlink" Id="rId72" Target="https://doi.org/10.1007/s40830-017-0129-9" TargetMode="External" /><Relationship Type="http://schemas.openxmlformats.org/officeDocument/2006/relationships/hyperlink" Id="rId70" Target="https://doi.org/10.1007/s40830-019-00230-9" TargetMode="External" /><Relationship Type="http://schemas.openxmlformats.org/officeDocument/2006/relationships/hyperlink" Id="rId7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60" Target="https://doi.org/10.1016/S0921-5093(99)00294-4" TargetMode="External" /><Relationship Type="http://schemas.openxmlformats.org/officeDocument/2006/relationships/hyperlink" Id="rId51" Target="https://doi.org/10.1016/j.actamat.2022.117751" TargetMode="External" /><Relationship Type="http://schemas.openxmlformats.org/officeDocument/2006/relationships/hyperlink" Id="rId64" Target="https://doi.org/10.1016/j.conbuildmat.2014.04.032" TargetMode="External" /><Relationship Type="http://schemas.openxmlformats.org/officeDocument/2006/relationships/hyperlink" Id="rId62" Target="https://doi.org/10.1016/j.matdes.2013.11.084" TargetMode="External" /><Relationship Type="http://schemas.openxmlformats.org/officeDocument/2006/relationships/hyperlink" Id="rId74" Target="https://doi.org/10.1016/j.matdes.2016.04.011" TargetMode="External" /><Relationship Type="http://schemas.openxmlformats.org/officeDocument/2006/relationships/hyperlink" Id="rId68" Target="https://doi.org/10.1016/j.scriptamat.2015.12.007" TargetMode="External" /><Relationship Type="http://schemas.openxmlformats.org/officeDocument/2006/relationships/hyperlink" Id="rId87" Target="https://doi.org/10.1038/s41467-019-10308-8" TargetMode="External" /><Relationship Type="http://schemas.openxmlformats.org/officeDocument/2006/relationships/hyperlink" Id="rId45" Target="https://doi.org/10.1038/s41586-023-06735-9" TargetMode="External" /><Relationship Type="http://schemas.openxmlformats.org/officeDocument/2006/relationships/hyperlink" Id="rId83" Target="https://doi.org/10.1063/1.364220" TargetMode="External" /><Relationship Type="http://schemas.openxmlformats.org/officeDocument/2006/relationships/hyperlink" Id="rId81" Target="https://doi.org/10.1107/S0021889869006558" TargetMode="External" /><Relationship Type="http://schemas.openxmlformats.org/officeDocument/2006/relationships/hyperlink" Id="rId85" Target="https://doi.org/10.1126/science.1183169" TargetMode="External" /><Relationship Type="http://schemas.openxmlformats.org/officeDocument/2006/relationships/hyperlink" Id="rId66"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dcterms:created xsi:type="dcterms:W3CDTF">2026-07-13T22:14:01Z</dcterms:created>
  <dcterms:modified xsi:type="dcterms:W3CDTF">2026-07-13T22:14:01Z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jmep.csl</vt:lpwstr>
  </property>
</Properties>
</file>