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response-to-reviewer-3"/>
    <w:p>
      <w:pPr>
        <w:pStyle w:val="Heading1"/>
      </w:pPr>
      <w:r>
        <w:t xml:space="preserve">Response to Reviewer 3</w:t>
      </w:r>
    </w:p>
    <w:p>
      <w:pPr>
        <w:pStyle w:val="FirstParagraph"/>
      </w:pPr>
      <w:r>
        <w:rPr>
          <w:b/>
          <w:bCs/>
        </w:rPr>
        <w:t xml:space="preserve">Manuscript:</w:t>
      </w:r>
      <w:r>
        <w:t xml:space="preserve"> </w:t>
      </w:r>
      <w:r>
        <w:t xml:space="preserve">JMRT-D-26-06169, revised title</w:t>
      </w:r>
      <w:r>
        <w:t xml:space="preserve"> </w:t>
      </w:r>
      <w:r>
        <w:rPr>
          <w:i/>
          <w:iCs/>
        </w:rPr>
        <w:t xml:space="preserve">Experimental Validation of an LLM-Hypothesized Fe-Mn-Al-Ni-Si-C Alloy: Phase Stability Governs the Absence of Super-elasticity</w:t>
      </w:r>
      <w:r>
        <w:t xml:space="preserve"> </w:t>
      </w:r>
      <w:r>
        <w:t xml:space="preserve">(submitted as</w:t>
      </w:r>
      <w:r>
        <w:t xml:space="preserve"> </w:t>
      </w:r>
      <w:r>
        <w:rPr>
          <w:i/>
          <w:iCs/>
        </w:rPr>
        <w:t xml:space="preserve">Mechanical Responses of an AI-Hypothesized Super-elastic Fe-Mn-Al-Ni-Si-C Alloy</w:t>
      </w:r>
      <w:r>
        <w:t xml:space="preserve">)</w:t>
      </w:r>
    </w:p>
    <w:p>
      <w:pPr>
        <w:pStyle w:val="BodyText"/>
      </w:pPr>
      <w:r>
        <w:t xml:space="preserve">We thank the Reviewer for the most demanding review this manuscript received, and we want to say at the outset that we found it fair. The four themes it presses — that</w:t>
      </w:r>
      <w:r>
        <w:t xml:space="preserve"> </w:t>
      </w:r>
      <w:r>
        <w:t xml:space="preserve">“identical processing”</w:t>
      </w:r>
      <w:r>
        <w:t xml:space="preserve"> </w:t>
      </w:r>
      <w:r>
        <w:t xml:space="preserve">does not license a composition-only comparison, that this composition sits in the lightweight-steel literature and the paper owed the reader an account of that, that the AGG treatment did not enter the evidence chain, and that several mechanistic statements outran their evidence — are all correct, and the revision concedes each of them and rebuilds the affected sections. In doing so we added the analysis that we believe answers the Reviewer’s underlying objection: three-database equilibrium CALPHAD calculations (new Secs. 2.6 and 3.4, Fig. 9, Table 3), validated against the benchmark alloy, which replace assertion with calculation at each of the points the Reviewer identified as unsupported.</w:t>
      </w:r>
    </w:p>
    <w:p>
      <w:pPr>
        <w:pStyle w:val="BodyText"/>
      </w:pPr>
      <w:r>
        <w:t xml:space="preserve">Section and figure numbers below refer to the revised manuscript. The revision adds Secs. 2.6, 3.4 and 3.5 and Figs. 7–9, so the Discussion sections the Reviewer cites as 4.2 and 4.3 are now 4.3 and 4.4 respectively. The test alloy is renamed the</w:t>
      </w:r>
      <w:r>
        <w:t xml:space="preserve"> </w:t>
      </w:r>
      <w:r>
        <w:t xml:space="preserve">“LLM-alloy”</w:t>
      </w:r>
      <w:r>
        <w:t xml:space="preserve"> </w:t>
      </w:r>
      <w:r>
        <w:t xml:space="preserve">and the reference alloy the</w:t>
      </w:r>
      <w:r>
        <w:t xml:space="preserve"> </w:t>
      </w:r>
      <w:r>
        <w:t xml:space="preserve">“benchmark alloy”</w:t>
      </w:r>
      <w:r>
        <w:t xml:space="preserve"> </w:t>
      </w:r>
      <w:r>
        <w:t xml:space="preserve">throughout.</w:t>
      </w:r>
    </w:p>
    <w:p>
      <w:r>
        <w:pict>
          <v:rect style="width:0;height:1.5pt" o:hralign="center" o:hrstd="t" o:hr="t"/>
        </w:pict>
      </w:r>
    </w:p>
    <w:p>
      <w:pPr>
        <w:pStyle w:val="FirstParagraph"/>
      </w:pPr>
      <w:r>
        <w:rPr>
          <w:b/>
          <w:bCs/>
        </w:rPr>
        <w:t xml:space="preserve">Comment 1.</w:t>
      </w:r>
      <w:r>
        <w:t xml:space="preserve"> </w:t>
      </w:r>
      <w:r>
        <w:rPr>
          <w:i/>
          <w:iCs/>
        </w:rPr>
        <w:t xml:space="preserve">The statement at the end of the Introduction that</w:t>
      </w:r>
      <w:r>
        <w:rPr>
          <w:i/>
          <w:iCs/>
        </w:rPr>
        <w:t xml:space="preserve"> </w:t>
      </w:r>
      <w:r>
        <w:rPr>
          <w:i/>
          <w:iCs/>
        </w:rPr>
        <w:t xml:space="preserve">“because the processing history was kept identical for both alloys, compositional differences are the sole variable determining the final mechanical properties”</w:t>
      </w:r>
      <w:r>
        <w:rPr>
          <w:i/>
          <w:iCs/>
        </w:rPr>
        <w:t xml:space="preserve"> </w:t>
      </w:r>
      <w:r>
        <w:rPr>
          <w:i/>
          <w:iCs/>
        </w:rPr>
        <w:t xml:space="preserve">is not valid from a materials-science perspective. It is not meaningful to compare the superelastic differences between the AI alloy and the Omori alloy solely by applying the same processing route, because identical external processing parameters do not mean that the two compositions achieve the same degree of recrystallization, grain size, grain orientation, texture, phase constitution, dislocation density, and precipitation state. The manuscript may state that the two alloys were subjected to the same nominal processing parameters, but further justification is required before the final performance differences can be attributed solely to chemical composition.</w:t>
      </w:r>
    </w:p>
    <w:p>
      <w:pPr>
        <w:pStyle w:val="BodyText"/>
      </w:pPr>
      <w:r>
        <w:rPr>
          <w:b/>
          <w:bCs/>
        </w:rPr>
        <w:t xml:space="preserve">Response.</w:t>
      </w:r>
      <w:r>
        <w:t xml:space="preserve"> </w:t>
      </w:r>
      <w:r>
        <w:t xml:space="preserve">The Reviewer is right, and the sentence has been deleted. The Introduction now states the defensible form: the two alloys were put through the same</w:t>
      </w:r>
      <w:r>
        <w:t xml:space="preserve"> </w:t>
      </w:r>
      <w:r>
        <w:rPr>
          <w:i/>
          <w:iCs/>
        </w:rPr>
        <w:t xml:space="preserve">nominal</w:t>
      </w:r>
      <w:r>
        <w:t xml:space="preserve"> </w:t>
      </w:r>
      <w:r>
        <w:t xml:space="preserve">route, identical nominal parameters do not guarantee identical recrystallization, grain size, texture or precipitation state in two different compositions, and what follows is a comparison of how each alloy responds to a common route rather than a controlled isolation of composition — with the limits of that comparison stated in Sec. 4.1 (Sec. 1, fourth paragraph).</w:t>
      </w:r>
    </w:p>
    <w:p>
      <w:pPr>
        <w:pStyle w:val="BodyText"/>
      </w:pPr>
      <w:r>
        <w:t xml:space="preserve">Beyond deleting the overclaim, the revision supplies the further justification the Reviewer asks for, in two parts. First, Sec. 4.1 now makes explicit the one respect in which the two alloys were</w:t>
      </w:r>
      <w:r>
        <w:t xml:space="preserve"> </w:t>
      </w:r>
      <w:r>
        <w:rPr>
          <w:i/>
          <w:iCs/>
        </w:rPr>
        <w:t xml:space="preserve">not</w:t>
      </w:r>
      <w:r>
        <w:t xml:space="preserve"> </w:t>
      </w:r>
      <w:r>
        <w:t xml:space="preserve">treated identically, because it runs against the direction of the Reviewer’s concern rather than with it: the LLM-alloy received the 200 °C/3 h age reported to develop pseudo-elasticity in this family and showed no response whatever (Fig. 2h, indistinguishable from the unaged Fig. 2g), while the benchmark in Fig. 3b received no age at all and still showed reverse transformation on heating. Whatever bias the shared route carries therefore favours the LLM-alloy. Second, the attribution to composition no longer rests on the two-heat comparison at all: the equilibrium calculations of Sec. 3.4, validated against the benchmark, show that the LLM-alloy has no single-phase α field at any temperature its processing can reach (solvus ≈1340 °C against a 1200 °C practical ceiling and a ≈1240 °C calculated incipient-melting temperature), which is a property of the composition, not of the route. Where the route genuinely remains untested — whether some</w:t>
      </w:r>
      <w:r>
        <w:t xml:space="preserve"> </w:t>
      </w:r>
      <w:r>
        <w:rPr>
          <w:i/>
          <w:iCs/>
        </w:rPr>
        <w:t xml:space="preserve">other</w:t>
      </w:r>
      <w:r>
        <w:t xml:space="preserve"> </w:t>
      </w:r>
      <w:r>
        <w:t xml:space="preserve">solution or ageing window could unlock a transformation in this chemistry — the revision says so and names it as future work (Sec. 4.4; see also our response to comment 5).</w:t>
      </w:r>
    </w:p>
    <w:p>
      <w:pPr>
        <w:pStyle w:val="BodyText"/>
      </w:pPr>
      <w:r>
        <w:rPr>
          <w:b/>
          <w:bCs/>
        </w:rPr>
        <w:t xml:space="preserve">Comment 2.</w:t>
      </w:r>
      <w:r>
        <w:t xml:space="preserve"> </w:t>
      </w:r>
      <w:r>
        <w:rPr>
          <w:i/>
          <w:iCs/>
        </w:rPr>
        <w:t xml:space="preserve">The basis for designing the candidate composition in Section 2.1 is questionable. Fe-Mn-Al-C, Fe-Mn-Al-Ni-C, and Fe-Mn-Al-Si-C systems with compositions similar to that studied here have mainly been investigated in the literature as low-density or lightweight structural steels. Their B2, DO3, and carbide phases are generally used to improve strength and ductility rather than to produce a reversible martensitic transformation. For example, Rahnama et al. investigated the effect of the B2 phase on the microstructure and mechanical properties of Ni-alloyed Fe-Mn-Al-C lightweight steels (Acta Materialia 132 (2017) 627–643); Saha et al. reported that NiAl-type nanoscale B2 precipitates are mainly located in the BCC regions of low-density Fe-Mn-Al-C steels (JOM 74 (2022) 3181–3190); and Heo et al. showed that Si can promote the formation of DO3 ordered phases and complex carbides in Fe-Mn-Al-C steels (Metallurgical and Materials Transactions A 43 (2012) 1731–1735). The authors should clearly explain why this alloy composition was selected for investigation and, given that many similar compositions mainly exhibit the microstructures and deformation behavior of lightweight steels, why this composition was expected to show room-temperature superelasticity.</w:t>
      </w:r>
    </w:p>
    <w:p>
      <w:pPr>
        <w:pStyle w:val="BodyText"/>
      </w:pPr>
      <w:r>
        <w:rPr>
          <w:b/>
          <w:bCs/>
        </w:rPr>
        <w:t xml:space="preserve">Response.</w:t>
      </w:r>
      <w:r>
        <w:t xml:space="preserve"> </w:t>
      </w:r>
      <w:r>
        <w:t xml:space="preserve">This is, in our view, the strongest scientific comment we received on this manuscript, and the revision does not merely accommodate it — it adopts it as part of the paper’s interpretation. All three references the Reviewer supplied are now cited and used.</w:t>
      </w:r>
    </w:p>
    <w:p>
      <w:pPr>
        <w:pStyle w:val="BodyText"/>
      </w:pPr>
      <w:r>
        <w:t xml:space="preserve">On why the composition was selected: Sec. 2.1 now documents its provenance fully. It came from Hypothesis A2 of the agent’s report (which is now supplied in its 41-page entirety as Supplementary Material), reasoning from the Fe-Mn-Al-Ni shape-memory family: reduce Ni for cost, add Si to stabilize and strengthen the α parent, add C for interstitial strengthening and fine carbides, retaining the α parent and β-NiAl precipitation throughout. Section 1 states this hypothesis in the agent’s own terms so that the reader can see exactly what expectation is under test.</w:t>
      </w:r>
    </w:p>
    <w:p>
      <w:pPr>
        <w:pStyle w:val="BodyText"/>
      </w:pPr>
      <w:r>
        <w:t xml:space="preserve">On why it was</w:t>
      </w:r>
      <w:r>
        <w:t xml:space="preserve"> </w:t>
      </w:r>
      <w:r>
        <w:rPr>
          <w:i/>
          <w:iCs/>
        </w:rPr>
        <w:t xml:space="preserve">expected</w:t>
      </w:r>
      <w:r>
        <w:t xml:space="preserve"> </w:t>
      </w:r>
      <w:r>
        <w:t xml:space="preserve">to show superelasticity when similar compositions are lightweight steels: the honest answer, which the revision gives, is that the agent reasoned from the shape-memory literature and did not engage with the lightweight-steel literature its composition actually lands in. Section 2.1 now states the overlap plainly at first introduction: at 55.8Fe-31.8Mn-6.2Al-4.8Ni-1.1Si-0.105C wt% the alloy carries essentially the same Ni-Al pairing, at essentially the same Ni level, as the Ni-alloyed Fe-Mn-Al-C low-density steels — Fe-15Mn-10Al-0.8C-5Ni (Rahnama et al.) and Fe-16Mn-9Al-0.9C-5Ni (Saha et al.) are representative — differing chiefly in roughly twice the manganese and about an eighth of the carbon. Section 4.2 then develops the comparison the Reviewer’s comment implies: the two families are built from the same four principal elements and produce the same ordered phases (B2 and D0₃ in the ferrite, κ-carbide in the austenite), but put them to opposite purposes — in the shape-memory alloys coherent B2 within a single-phase α parent enables a reversible transformation to outrun plasticity, while in the low-density steels the same precipitates are strengtheners in a structure never intended to transform, and B2 ordering is a liability to be managed. Judged against the second family, this alloy is neither anomalous nor a failure: it is a γ-majority duplex alloy that orders and deforms by slip, which is what alloys of its chemistry do. The failure lies in the expectation attached to it. Section 4.3 extends the comparison quantitatively (the alloy’s properties sit inside the Rahnama envelope for the family), and the Heo reference now anchors the silicon discussion in Sec. 4.2 (Si as a promoter of exactly the D0₃ ordering observed — an effect nowhere present in the reasoning that specified the Si addition).</w:t>
      </w:r>
    </w:p>
    <w:p>
      <w:pPr>
        <w:pStyle w:val="BodyText"/>
      </w:pPr>
      <w:r>
        <w:t xml:space="preserve">We believe the manuscript is substantially stronger for this repositioning: what the Reviewer identified as a questionable design basis is, examined closely, the paper’s clearest finding — the agent proposed a lightweight-steel composition while believing it was proposing a shape-memory alloy, and the composition can sit in two literatures at once while satisfying the design intent of only one.</w:t>
      </w:r>
    </w:p>
    <w:p>
      <w:pPr>
        <w:pStyle w:val="BodyText"/>
      </w:pPr>
      <w:r>
        <w:rPr>
          <w:b/>
          <w:bCs/>
        </w:rPr>
        <w:t xml:space="preserve">Comment 3.</w:t>
      </w:r>
      <w:r>
        <w:t xml:space="preserve"> </w:t>
      </w:r>
      <w:r>
        <w:rPr>
          <w:i/>
          <w:iCs/>
        </w:rPr>
        <w:t xml:space="preserve">Table 1 shows that the actual Si content of the AI alloy is 1.11 wt.%, whereas the nominal content is 2.2 wt.%; the actual value is approximately half of the designed value. Considering that Si is intended by the authors to strengthen the matrix and regulate phase stability and precipitate formation, this deviation cannot be described as</w:t>
      </w:r>
      <w:r>
        <w:rPr>
          <w:i/>
          <w:iCs/>
        </w:rPr>
        <w:t xml:space="preserve"> </w:t>
      </w:r>
      <w:r>
        <w:rPr>
          <w:i/>
          <w:iCs/>
        </w:rPr>
        <w:t xml:space="preserve">“very close to the nominal values.”</w:t>
      </w:r>
      <w:r>
        <w:rPr>
          <w:i/>
          <w:iCs/>
        </w:rPr>
        <w:t xml:space="preserve"> </w:t>
      </w:r>
      <w:r>
        <w:rPr>
          <w:i/>
          <w:iCs/>
        </w:rPr>
        <w:t xml:space="preserve">Strictly speaking, the claimed nominal composition requires further verification in this study.</w:t>
      </w:r>
    </w:p>
    <w:p>
      <w:pPr>
        <w:pStyle w:val="BodyText"/>
      </w:pPr>
      <w:r>
        <w:rPr>
          <w:b/>
          <w:bCs/>
        </w:rPr>
        <w:t xml:space="preserve">Response.</w:t>
      </w:r>
      <w:r>
        <w:t xml:space="preserve"> </w:t>
      </w:r>
      <w:r>
        <w:t xml:space="preserve">The Reviewer is correct and the phrase was wrong.</w:t>
      </w:r>
      <w:r>
        <w:t xml:space="preserve"> </w:t>
      </w:r>
      <w:r>
        <w:t xml:space="preserve">“Very close to the nominal values”</w:t>
      </w:r>
      <w:r>
        <w:t xml:space="preserve"> </w:t>
      </w:r>
      <w:r>
        <w:t xml:space="preserve">has been deleted. Section 2.1 now reports the deviation honestly and quantitatively: silicon was recovered at ≈50% of intent (1.11 wt% against 2.2 wt%, i.e. 2.04 at% against 4 at%), a shortfall consistent with oxidation loss during vacuum induction melting. Two consequential changes follow from the correction. First, the LLM-alloy is now</w:t>
      </w:r>
      <w:r>
        <w:t xml:space="preserve"> </w:t>
      </w:r>
      <w:r>
        <w:rPr>
          <w:i/>
          <w:iCs/>
        </w:rPr>
        <w:t xml:space="preserve">identified by its measured composition</w:t>
      </w:r>
      <w:r>
        <w:t xml:space="preserve"> </w:t>
      </w:r>
      <w:r>
        <w:t xml:space="preserve">— 51.5Fe-29.8Mn-11.9Al-4.2Ni-2.0Si-0.45C at% — everywhere the nominal was previously used as the alloy’s identity, and every calculation in the new Secs. 2.6/3.4 takes the measured chemistry as input, so no conclusion in the paper rests on the nominal composition. Second, Sec. 4.2 states what the shortfall means for the design rationale: at half its intended level silicon cannot have delivered the solid-solution strengthening it was specified for, and the carbon-free control calculation (which holds Si at its</w:t>
      </w:r>
      <w:r>
        <w:t xml:space="preserve"> </w:t>
      </w:r>
      <w:r>
        <w:rPr>
          <w:i/>
          <w:iCs/>
        </w:rPr>
        <w:t xml:space="preserve">measured</w:t>
      </w:r>
      <w:r>
        <w:t xml:space="preserve"> </w:t>
      </w:r>
      <w:r>
        <w:t xml:space="preserve">2.04 at%) shows the single-phase α field is restored regardless — so the silicon deficit is not what closed the processing window either. We also note, for completeness, that the benchmark alloy</w:t>
      </w:r>
      <w:r>
        <w:t xml:space="preserve"> </w:t>
      </w:r>
      <w:r>
        <w:rPr>
          <w:i/>
          <w:iCs/>
        </w:rPr>
        <w:t xml:space="preserve">is</w:t>
      </w:r>
      <w:r>
        <w:t xml:space="preserve"> </w:t>
      </w:r>
      <w:r>
        <w:t xml:space="preserve">close to its nominal target (42.7Fe-34.1Mn-15.2Al-7.8Ni measured against 43.5-34-15-7.5 at%), so this caveat attaches to one alloy only, and the text says so.</w:t>
      </w:r>
    </w:p>
    <w:p>
      <w:pPr>
        <w:pStyle w:val="BodyText"/>
      </w:pPr>
      <w:r>
        <w:rPr>
          <w:b/>
          <w:bCs/>
        </w:rPr>
        <w:t xml:space="preserve">Comment 4.</w:t>
      </w:r>
      <w:r>
        <w:t xml:space="preserve"> </w:t>
      </w:r>
      <w:r>
        <w:rPr>
          <w:i/>
          <w:iCs/>
        </w:rPr>
        <w:t xml:space="preserve">Section 2.2 describes a cyclic heat treatment for abnormal grain growth. However, the main text only briefly states that the XRD pattern of the AGG-treated sample is similar to Fig. 4a, without presenting the grain size, formation of bamboo-like grains, grain orientation, texture, or corresponding cyclic stress-strain results after this treatment. The key mechanical specimens in Figs. 2 and 3 were not in this cyclic heat-treated condition. The key heat treatment specifically included in the Methods does not enter the core evidence chain, and the reporting of the results is incomplete.</w:t>
      </w:r>
    </w:p>
    <w:p>
      <w:pPr>
        <w:pStyle w:val="BodyText"/>
      </w:pPr>
      <w:r>
        <w:rPr>
          <w:b/>
          <w:bCs/>
        </w:rPr>
        <w:t xml:space="preserve">Response.</w:t>
      </w:r>
      <w:r>
        <w:t xml:space="preserve"> </w:t>
      </w:r>
      <w:r>
        <w:t xml:space="preserve">We accept this criticism as stated, and it drove more new content than any other comment we received: the AGG condition was one sentence in the submitted manuscript and is now a results section of its own (Sec. 3.5) with two new figure elements — the post-AGG diffraction image Fig. 8 and the post-AGG optical microstructure Fig. 1d. We take the Reviewer’s five items in turn.</w:t>
      </w:r>
    </w:p>
    <w:p>
      <w:pPr>
        <w:pStyle w:val="BodyText"/>
      </w:pPr>
      <w:r>
        <w:rPr>
          <w:i/>
          <w:iCs/>
        </w:rPr>
        <w:t xml:space="preserve">The treatment does not enter the core evidence chain.</w:t>
      </w:r>
      <w:r>
        <w:t xml:space="preserve"> </w:t>
      </w:r>
      <w:r>
        <w:t xml:space="preserve">A genuine defect of construction, remedied structurally: Sec. 3.5 reports the AGG outcome for both alloys, connects it to the equilibrium calculations of Sec. 3.4 as its mechanism, and feeds the Discussion (Secs. 4.1, 4.4). We also correct the sentence the Reviewer quotes: the post-AGG pattern is</w:t>
      </w:r>
      <w:r>
        <w:t xml:space="preserve"> </w:t>
      </w:r>
      <w:r>
        <w:rPr>
          <w:i/>
          <w:iCs/>
        </w:rPr>
        <w:t xml:space="preserve">not</w:t>
      </w:r>
      <w:r>
        <w:t xml:space="preserve"> </w:t>
      </w:r>
      <w:r>
        <w:t xml:space="preserve">“similar to Fig. 4a”</w:t>
      </w:r>
      <w:r>
        <w:t xml:space="preserve"> </w:t>
      </w:r>
      <w:r>
        <w:t xml:space="preserve">as that sentence implied — same phases, but the ring intensity resolves into markedly more discrete spots (fewer, larger crystallites), and Sec. 3.3 now reports the phase result and the grain-size result separately.</w:t>
      </w:r>
    </w:p>
    <w:p>
      <w:pPr>
        <w:pStyle w:val="BodyText"/>
      </w:pPr>
      <w:r>
        <w:rPr>
          <w:i/>
          <w:iCs/>
        </w:rPr>
        <w:t xml:space="preserve">Formation of bamboo-like grains, and grain size.</w:t>
      </w:r>
      <w:r>
        <w:t xml:space="preserve"> </w:t>
      </w:r>
      <w:r>
        <w:t xml:space="preserve">Both are now reported. The benchmark bamboos completely — after three cycles its 0.64 mm wire consists of grains spanning the full section width — which reproduces the well-documented response of this composition to this treatment, and Sec. 3.5 states that outcome; it is not presented as a finding of this paper. The LLM-alloy, whose response</w:t>
      </w:r>
      <w:r>
        <w:t xml:space="preserve"> </w:t>
      </w:r>
      <w:r>
        <w:rPr>
          <w:i/>
          <w:iCs/>
        </w:rPr>
        <w:t xml:space="preserve">is</w:t>
      </w:r>
      <w:r>
        <w:t xml:space="preserve"> </w:t>
      </w:r>
      <w:r>
        <w:t xml:space="preserve">the finding, is shown directly: Fig. 1d, the wire after the identical treatment — a fine banded duplex structure across the entire section, no grain approaching the section width — comparable within the same figure to the 1-minute and 40-minute single anneals (Fig. 1a, c). Section 3.5 additionally reports the same alloy as ≈1 mm rod, where coarsening</w:t>
      </w:r>
      <w:r>
        <w:t xml:space="preserve"> </w:t>
      </w:r>
      <w:r>
        <w:rPr>
          <w:i/>
          <w:iCs/>
        </w:rPr>
        <w:t xml:space="preserve">has</w:t>
      </w:r>
      <w:r>
        <w:t xml:space="preserve"> </w:t>
      </w:r>
      <w:r>
        <w:t xml:space="preserve">occurred but is arrested along a continuous band of fine equiaxed grains. Section 3.5 distinguishes throughout between grain size, which the treatment does increase in this alloy, and grain span, which is what bamboo means and which it does not produce.</w:t>
      </w:r>
    </w:p>
    <w:p>
      <w:pPr>
        <w:pStyle w:val="BodyText"/>
      </w:pPr>
      <w:r>
        <w:rPr>
          <w:i/>
          <w:iCs/>
        </w:rPr>
        <w:t xml:space="preserve">Grain orientation and texture.</w:t>
      </w:r>
      <w:r>
        <w:t xml:space="preserve"> </w:t>
      </w:r>
      <w:r>
        <w:t xml:space="preserve">Now presented as data: new Fig. 7 gives the inverse pole figures of both phases of the LLM-alloy from the E-WIMV orientation-distribution refinement (Sec. 2.5) — pronounced {111}/{100} fibers in γ and a strong {110} fiber in α, the classic drawing textures — and Sec. 3.3 reports that these components remain evident in the post-AGG pattern (Fig. 8).</w:t>
      </w:r>
    </w:p>
    <w:p>
      <w:pPr>
        <w:pStyle w:val="BodyText"/>
      </w:pPr>
      <w:r>
        <w:rPr>
          <w:i/>
          <w:iCs/>
        </w:rPr>
        <w:t xml:space="preserve">Cyclic stress–strain results after this treatment.</w:t>
      </w:r>
      <w:r>
        <w:t xml:space="preserve"> </w:t>
      </w:r>
      <w:r>
        <w:t xml:space="preserve">The mechanical record for the AGG condition is reported in Sec. 3.5 and is poor in an informative way: the only replicated AGG condition (2-cycle AGG rod) gave specimens failing at 568 and 608 MPa after 1.0% elongation, a three-cycle-plus-age specimen reached 1006 MPa at 11.9%, and boundary cracking is visible on the specimen surface — the treatment introduces cracking and scatter without producing the grain structure it was applied to produce. Stepwise cyclic curves were not recorded in the AGG condition, and Sec. 3.5 states the reason rather than leaving an omission: in grain size that condition lies between the 1-minute and 40-minute anneals at 1200 °C, both characterised, neither showing any transformation, with every unloading segment straight and parallel to the elastic line. A response bracketed by two curves that each show no transformation cannot itself show one; and specimens that fracture near 1% elongation cannot in any case be cycled meaningfully.</w:t>
      </w:r>
    </w:p>
    <w:p>
      <w:pPr>
        <w:pStyle w:val="BodyText"/>
      </w:pPr>
      <w:r>
        <w:t xml:space="preserve">Finally, Sec. 3.5 draws the conclusion this evidence supports about the treatment’s role in the evidence chain: bamboo structure amplifies a transformation, it does not create one — the benchmark transforms measurably in a</w:t>
      </w:r>
      <w:r>
        <w:t xml:space="preserve"> </w:t>
      </w:r>
      <w:r>
        <w:rPr>
          <w:i/>
          <w:iCs/>
        </w:rPr>
        <w:t xml:space="preserve">non</w:t>
      </w:r>
      <w:r>
        <w:t xml:space="preserve">-bamboo condition within our own data (≈0.5% strain recovery on heating, Sec. 3.2) while the LLM-alloy shows nothing in any condition, at any grain size. The AGG experiment therefore closes a route rather than leaving one untested, and the reason it closes — second-phase pinning by a duplex constitution that is the</w:t>
      </w:r>
      <w:r>
        <w:t xml:space="preserve"> </w:t>
      </w:r>
      <w:r>
        <w:rPr>
          <w:i/>
          <w:iCs/>
        </w:rPr>
        <w:t xml:space="preserve">equilibrium</w:t>
      </w:r>
      <w:r>
        <w:t xml:space="preserve"> </w:t>
      </w:r>
      <w:r>
        <w:t xml:space="preserve">state at 1200 °C (Secs. 3.3, 3.4) — is the same phase-stability diagnosis that accounts for the missing transformation itself.</w:t>
      </w:r>
    </w:p>
    <w:p>
      <w:pPr>
        <w:pStyle w:val="BodyText"/>
      </w:pPr>
      <w:r>
        <w:rPr>
          <w:b/>
          <w:bCs/>
        </w:rPr>
        <w:t xml:space="preserve">Comment 5.</w:t>
      </w:r>
      <w:r>
        <w:t xml:space="preserve"> </w:t>
      </w:r>
      <w:r>
        <w:rPr>
          <w:i/>
          <w:iCs/>
        </w:rPr>
        <w:t xml:space="preserve">Section 2.2 also raises a question regarding the applicability of the processing route. The formation, size, and distribution of B2 nanoscale precipitates depend on the specific composition, aging temperature, cooling rate, and subsequent aging treatment. After the composition is changed to one containing Si and C with a lower Ni content, the optimum precipitation window may be entirely different. Directly applying the heat treatment used for the Omori alloy to the new composition can only show that the two alloys respond differently under the same treatment. Further study is required to determine whether this processing route is suitable for the new alloy and whether it can demonstrate that the new alloy itself cannot form an appropriate B2 nanoscale phase or exhibit superelasticity.</w:t>
      </w:r>
    </w:p>
    <w:p>
      <w:pPr>
        <w:pStyle w:val="BodyText"/>
      </w:pPr>
      <w:r>
        <w:rPr>
          <w:b/>
          <w:bCs/>
        </w:rPr>
        <w:t xml:space="preserve">Response.</w:t>
      </w:r>
      <w:r>
        <w:t xml:space="preserve"> </w:t>
      </w:r>
      <w:r>
        <w:t xml:space="preserve">We concede the logical point without reservation: the experiments alone show only that the two alloys respond differently to one route, and the revision now says exactly that in the Introduction (Sec. 1) and again where the route is discussed (Sec. 4.1). Whether some other solution or ageing window could unlock a transformation in this composition is untested experimentally, and the revision names that as an open question and as future work in terms the Reviewer’s comment supplied (Sec. 4.4:</w:t>
      </w:r>
      <w:r>
        <w:t xml:space="preserve"> </w:t>
      </w:r>
      <w:r>
        <w:t xml:space="preserve">“a solution-and-ageing window optimised for this composition, rather than inherited from the benchmark”</w:t>
      </w:r>
      <w:r>
        <w:t xml:space="preserve">).</w:t>
      </w:r>
    </w:p>
    <w:p>
      <w:pPr>
        <w:pStyle w:val="BodyText"/>
      </w:pPr>
      <w:r>
        <w:t xml:space="preserve">That said, the new equilibrium analysis bears directly on the specific mechanism the Reviewer proposes — that the optimum</w:t>
      </w:r>
      <w:r>
        <w:t xml:space="preserve"> </w:t>
      </w:r>
      <w:r>
        <w:rPr>
          <w:i/>
          <w:iCs/>
        </w:rPr>
        <w:t xml:space="preserve">precipitation window</w:t>
      </w:r>
      <w:r>
        <w:t xml:space="preserve"> </w:t>
      </w:r>
      <w:r>
        <w:t xml:space="preserve">may simply lie elsewhere — and we want to put its result before the Reviewer plainly. The difficulty the calculations find is not a misplaced window but a missing prerequisite. Coherent nanoscale B2 of the kind the benchmark relies on is obtained by quenching from a single-phase α field and ageing below it, so that B2 orders within α before γ can nucleate. The LLM-alloy has no accessible single-phase α field at any temperature: its calculated solvus is ≈1340 °C, above both the 1200 °C practical ceiling and the ≈1240 °C incipient-melting temperature returned by the broadest-coverage database (Sec. 3.4). The ordered bcc it can form at equilibrium is small (≤11%), confined below ≈850 °C, and forms within a γ matrix rather than an α one. There is therefore no ageing temperature at which this composition could develop the benchmark’s microstructure, because the step</w:t>
      </w:r>
      <w:r>
        <w:t xml:space="preserve"> </w:t>
      </w:r>
      <w:r>
        <w:rPr>
          <w:i/>
          <w:iCs/>
        </w:rPr>
        <w:t xml:space="preserve">before</w:t>
      </w:r>
      <w:r>
        <w:t xml:space="preserve"> </w:t>
      </w:r>
      <w:r>
        <w:t xml:space="preserve">ageing — the single-phase parent — is unavailable at every temperature (Sec. 4.1). This is a stronger and more specific statement than</w:t>
      </w:r>
      <w:r>
        <w:t xml:space="preserve"> </w:t>
      </w:r>
      <w:r>
        <w:t xml:space="preserve">“no B2 peak was seen,”</w:t>
      </w:r>
      <w:r>
        <w:t xml:space="preserve"> </w:t>
      </w:r>
      <w:r>
        <w:t xml:space="preserve">and it is the sense in which we believe the route question is answered by composition rather than left open by processing: the window cannot be relocated to a temperature that does not exist. The experimental caveat stands — these are equilibrium calculations, and the revision keeps the route-optimisation question in future work on that basis — but the calculations shift the burden of what an optimised route could plausibly achieve.</w:t>
      </w:r>
    </w:p>
    <w:p>
      <w:pPr>
        <w:pStyle w:val="BodyText"/>
      </w:pPr>
      <w:r>
        <w:rPr>
          <w:b/>
          <w:bCs/>
        </w:rPr>
        <w:t xml:space="preserve">Comment 6.</w:t>
      </w:r>
      <w:r>
        <w:t xml:space="preserve"> </w:t>
      </w:r>
      <w:r>
        <w:rPr>
          <w:i/>
          <w:iCs/>
        </w:rPr>
        <w:t xml:space="preserve">Section 2.5 uses ex-situ XRD before deformation and after unloading. For a superelastic material, stress-induced martensite may form during loading and reverse completely during unloading. Therefore, similar diffraction patterns before loading and after unloading do not necessarily exclude a reversible phase transformation during loading. More direct evidence should be provided to confirm the deformation mechanism.</w:t>
      </w:r>
    </w:p>
    <w:p>
      <w:pPr>
        <w:pStyle w:val="BodyText"/>
      </w:pPr>
      <w:r>
        <w:rPr>
          <w:b/>
          <w:bCs/>
        </w:rPr>
        <w:t xml:space="preserve">Response.</w:t>
      </w:r>
      <w:r>
        <w:t xml:space="preserve"> </w:t>
      </w:r>
      <w:r>
        <w:t xml:space="preserve">The Reviewer is right that ex-situ diffraction cannot exclude a fully reversible transformation, and the revision restructures the argument so that the diffraction no longer carries that weight. Section 3.3 now states the order of the evidence explicitly: a transformation reversible enough to leave no diffraction signature after unloading would still have had to produce recoverable strain</w:t>
      </w:r>
      <w:r>
        <w:t xml:space="preserve"> </w:t>
      </w:r>
      <w:r>
        <w:rPr>
          <w:i/>
          <w:iCs/>
        </w:rPr>
        <w:t xml:space="preserve">during</w:t>
      </w:r>
      <w:r>
        <w:t xml:space="preserve"> </w:t>
      </w:r>
      <w:r>
        <w:t xml:space="preserve">unloading — that is what reversal is — and the unloading segments of Fig. 2 are straight, parallel to the elastic loading line, and return no strain beyond σ/E in every one of the eight conditions. The loading–unloading–heating test of Fig. 3a closes the remaining route by which a transformation could hide: any retained martensite stable enough to survive unloading would revert on heating and appear as strain recovery, exactly as it does for the benchmark in Fig. 3b (and does not for the LLM-alloy). The mechanical measurements are therefore the primary evidence, and the unchanged multi-phase diffraction pattern is corroboration — not the other way round. What ex-situ diffraction genuinely cannot do is observe the material</w:t>
      </w:r>
      <w:r>
        <w:t xml:space="preserve"> </w:t>
      </w:r>
      <w:r>
        <w:rPr>
          <w:i/>
          <w:iCs/>
        </w:rPr>
        <w:t xml:space="preserve">while loaded</w:t>
      </w:r>
      <w:r>
        <w:t xml:space="preserve">, and the revision concedes this explicitly: an in-situ or loading-stage synchrotron measurement is named as the direct test of that remaining possibility, in Sec. 3.3 and in the future-work paragraph of Sec. 4.4.</w:t>
      </w:r>
    </w:p>
    <w:p>
      <w:pPr>
        <w:pStyle w:val="BodyText"/>
      </w:pPr>
      <w:r>
        <w:rPr>
          <w:b/>
          <w:bCs/>
        </w:rPr>
        <w:t xml:space="preserve">Comment 7.</w:t>
      </w:r>
      <w:r>
        <w:t xml:space="preserve"> </w:t>
      </w:r>
      <w:r>
        <w:rPr>
          <w:i/>
          <w:iCs/>
        </w:rPr>
        <w:t xml:space="preserve">Section 3.2 systematically presents only the cyclic curves of the AI alloy and does not provide fully corresponding stepwise cyclic loading-unloading curves for the Omori alloy. Many factors affect superelastic performance. The authors should ensure that the grain size, orientation, texture, and precipitation state of the two alloys are characterized on a corresponding basis before comparing their properties.</w:t>
      </w:r>
    </w:p>
    <w:p>
      <w:pPr>
        <w:pStyle w:val="BodyText"/>
      </w:pPr>
      <w:r>
        <w:rPr>
          <w:b/>
          <w:bCs/>
        </w:rPr>
        <w:t xml:space="preserve">Response.</w:t>
      </w:r>
      <w:r>
        <w:t xml:space="preserve"> </w:t>
      </w:r>
      <w:r>
        <w:t xml:space="preserve">We respectfully push back on this comment rather than half-comply with it, and we would rather give the reason plainly. The purpose of this work is to test whether an LLM-hypothesized composition has the potential for stress-induced martensitic transformation. The Omori composition is in the paper as a control, not as a subject. Its superelasticity — including the dependence on grain size, orientation, texture and B2 precipitation state that the Reviewer lists — is among the most thoroughly documented subjects in this alloy family’s literature (Omori et al., Science 333 (2011) 68–71, and the subsequent literature cited in Secs. 1 and 3.5), and this paper has nothing to add to it. What the control must do here is validate the methods: it shows that the melt-and-draw route produces functional superelastic wire, and — critically — that the loading–unloading–heating protocol resolves a transformation when one is present. Fig. 3b is that demonstration: 0.5% strain recovery on heating in the benchmark, under the same protocol that resolves nothing in the LLM-alloy (Fig. 3a). A fully corresponding stepwise cyclic characterization of the benchmark would re-measure settled literature without sharpening the paper’s question, and we have deliberately not added one.</w:t>
      </w:r>
    </w:p>
    <w:p>
      <w:pPr>
        <w:pStyle w:val="BodyText"/>
      </w:pPr>
      <w:r>
        <w:t xml:space="preserve">On corresponding characterization more broadly, the revision reports what corresponds and is candid about what cannot. Grain structure: both alloys’ 1200 °C states are characterized (LLM-alloy fine equiaxed, sub-20 µm, Fig. 1a; benchmark pronouncedly coarsened, evidenced by its spotty Debye–Scherrer rings, Fig. 4c–d), and both alloys’ responses to the identical AGG treatment are reported in Sec. 3.5. Texture: the LLM-alloy’s is quantified (Fig. 7); for the benchmark the same coarse grain structure that defeats Rietveld quantification (too few grains per reflection, Sec. 3.3) precludes a meaningful orientation-distribution refinement — the refinement from which the LLM-alloy’s texture is extracted; Sec. 3.3 states that limitation and its microstructural cause explicitly rather than passing over it. Precipitation state: the benchmark’s B2 is directly visible in its diffraction pattern (Fig. 4c) and is independently reproduced by the validated equilibrium calculation (≈20% ordered bcc, Sec. 3.4/Fig. 9a); the LLM-alloy’s B2 content is bounded quantitatively at least four times below the benchmark’s (Sec. 3.3; see our response to comment 8). Where a fully symmetric characterization is impossible — quantitative phase fractions for the benchmark — Sec. 3.3 explains why (grain statistics), and explains why the asymmetry does not affect the comparison the paper actually makes: what the coarse structure withholds is a number for</w:t>
      </w:r>
      <w:r>
        <w:t xml:space="preserve"> </w:t>
      </w:r>
      <w:r>
        <w:rPr>
          <w:i/>
          <w:iCs/>
        </w:rPr>
        <w:t xml:space="preserve">how much</w:t>
      </w:r>
      <w:r>
        <w:t xml:space="preserve"> </w:t>
      </w:r>
      <w:r>
        <w:t xml:space="preserve">of the benchmark transformed, not the fact that it transformed, and the question the paper addresses is why the LLM-alloy shows no change at all.</w:t>
      </w:r>
    </w:p>
    <w:p>
      <w:pPr>
        <w:pStyle w:val="BodyText"/>
      </w:pPr>
      <w:r>
        <w:rPr>
          <w:b/>
          <w:bCs/>
        </w:rPr>
        <w:t xml:space="preserve">Comment 8.</w:t>
      </w:r>
      <w:r>
        <w:t xml:space="preserve"> </w:t>
      </w:r>
      <w:r>
        <w:rPr>
          <w:i/>
          <w:iCs/>
        </w:rPr>
        <w:t xml:space="preserve">The identification of B2 and DO3 in Section 3.3 cannot support the nanoscale precipitation mechanism proposed in the manuscript. Whether the absence of an obvious B2 peak in the AI alloy proves the complete absence of B2 still requires further discussion. The authors should assess whether the heat-treatment route used for the AI alloy is appropriate and use additional characterization methods to determine whether the B2 phase is present.</w:t>
      </w:r>
    </w:p>
    <w:p>
      <w:pPr>
        <w:pStyle w:val="BodyText"/>
      </w:pPr>
      <w:r>
        <w:rPr>
          <w:b/>
          <w:bCs/>
        </w:rPr>
        <w:t xml:space="preserve">Response.</w:t>
      </w:r>
      <w:r>
        <w:t xml:space="preserve"> </w:t>
      </w:r>
      <w:r>
        <w:t xml:space="preserve">The Reviewer’s logical point — absence of a peak does not prove absence of the phase — is correct, and the revision responds in three ways.</w:t>
      </w:r>
    </w:p>
    <w:p>
      <w:pPr>
        <w:pStyle w:val="BodyText"/>
      </w:pPr>
      <w:r>
        <w:t xml:space="preserve">First, every categorical</w:t>
      </w:r>
      <w:r>
        <w:t xml:space="preserve"> </w:t>
      </w:r>
      <w:r>
        <w:t xml:space="preserve">“no B2”</w:t>
      </w:r>
      <w:r>
        <w:t xml:space="preserve"> </w:t>
      </w:r>
      <w:r>
        <w:t xml:space="preserve">statement has been softened to what the measurement supports: no B2 superlattice reflection was resolved</w:t>
      </w:r>
      <w:r>
        <w:t xml:space="preserve"> </w:t>
      </w:r>
      <w:r>
        <w:rPr>
          <w:i/>
          <w:iCs/>
        </w:rPr>
        <w:t xml:space="preserve">above the detection limit of the present measurement</w:t>
      </w:r>
      <w:r>
        <w:t xml:space="preserve">.</w:t>
      </w:r>
    </w:p>
    <w:p>
      <w:pPr>
        <w:pStyle w:val="BodyText"/>
      </w:pPr>
      <w:r>
        <w:t xml:space="preserve">Second, that detection limit is now quantified rather than asserted, which converts the concession into a bound (Sec. 3.3). The complication is that B2 and D0₃ share the {200}-type superlattice position, so the discriminating measurement is the D0₃-only {111} reflection. The LLM-alloy carries the D0₃-only reflection clearly (0.49–1.02% of maximum intensity, signal-to-noise 16–27 across four independent patterns) and its intensity at the shared position (0.50–1.06%) is fully accounted for by D0₃; the benchmark shows the converse signature — the shared reflection strongly (3.83–7.17%) with the D0₃-only reflection absent (S/N 2.3–2.9). Any B2 present in the LLM-alloy is therefore at least four times less abundant than in the benchmark and may be absent altogether. The text then concedes exactly what remains open: a dispersion finer or more dilute than this limit cannot be excluded by diffraction, and transmission electron microscopy or atom-probe tomography would be required to do so — named as such.</w:t>
      </w:r>
    </w:p>
    <w:p>
      <w:pPr>
        <w:pStyle w:val="BodyText"/>
      </w:pPr>
      <w:r>
        <w:t xml:space="preserve">Third, on whether the heat-treatment route was appropriate for forming B2 in this alloy: the equilibrium analysis now answers this at a more fundamental level than peak detection (Secs. 3.4, 4.1). Coherent nanoscale B2 in this family forms by ageing a quenched single-phase α matrix. The LLM-alloy has no accessible single-phase α field at any temperature (solvus ≈1340 °C against a ≈1240 °C calculated incipient-melting temperature), and the ordered bcc it can form at equilibrium is ≤11%, below ≈850 °C, within a γ matrix. So the question</w:t>
      </w:r>
      <w:r>
        <w:t xml:space="preserve"> </w:t>
      </w:r>
      <w:r>
        <w:t xml:space="preserve">“is B2 present below our detection limit?”</w:t>
      </w:r>
      <w:r>
        <w:t xml:space="preserve"> </w:t>
      </w:r>
      <w:r>
        <w:t xml:space="preserve">— which we cannot fully close without TEM/APT — matters less than the revision’s stronger, calculation-backed statement: there is no α matrix in which coherent B2 could form in this composition, at any temperature, by any schedule. That statement also explains the total absence of response to the 200 °C/3 h age (Fig. 2h) — the very treatment that develops pseudo-elasticity in the benchmark family.</w:t>
      </w:r>
    </w:p>
    <w:p>
      <w:pPr>
        <w:pStyle w:val="BodyText"/>
      </w:pPr>
      <w:r>
        <w:rPr>
          <w:b/>
          <w:bCs/>
        </w:rPr>
        <w:t xml:space="preserve">Comment 9.</w:t>
      </w:r>
      <w:r>
        <w:t xml:space="preserve"> </w:t>
      </w:r>
      <w:r>
        <w:rPr>
          <w:i/>
          <w:iCs/>
        </w:rPr>
        <w:t xml:space="preserve">Section 4.1 mainly attributes the absence of superelasticity to the stabilization of the FCC γ phase by C. However, the contents of Fe, Mn, Al, Ni, Si, and C all differ simultaneously between the AI alloy and the Omori alloy, and the reduction of Ni from 7.5 at.% to 4 at.% may also significantly affect B2 precipitation and parent-phase stability. How can the authors identify C as the main factor based on only two compositions in which multiple elements vary simultaneously?</w:t>
      </w:r>
    </w:p>
    <w:p>
      <w:pPr>
        <w:pStyle w:val="BodyText"/>
      </w:pPr>
      <w:r>
        <w:rPr>
          <w:b/>
          <w:bCs/>
        </w:rPr>
        <w:t xml:space="preserve">Response.</w:t>
      </w:r>
      <w:r>
        <w:t xml:space="preserve"> </w:t>
      </w:r>
      <w:r>
        <w:t xml:space="preserve">On the two cast heats alone, we cannot — the Reviewer is right, and the submitted manuscript overclaimed. The revision answers the</w:t>
      </w:r>
      <w:r>
        <w:t xml:space="preserve"> </w:t>
      </w:r>
      <w:r>
        <w:t xml:space="preserve">“how”</w:t>
      </w:r>
      <w:r>
        <w:t xml:space="preserve"> </w:t>
      </w:r>
      <w:r>
        <w:t xml:space="preserve">with two calculations that change one variable at a time, which no pair of physical heats can do (Secs. 2.6, 3.4, Table 3).</w:t>
      </w:r>
    </w:p>
    <w:p>
      <w:pPr>
        <w:pStyle w:val="BodyText"/>
      </w:pPr>
      <w:r>
        <w:t xml:space="preserve">The first is a virtual carbon-free control: the measured LLM-alloy chemistry with carbon deleted and Fe, Mn, Al, Ni and Si all held at their measured values. In all three independent databases, deleting 0.45 at% (≈0.10 wt%) carbon moves the single-phase α solvus from ≈1340 °C to ≈1150 °C and converts the 1200 °C equilibrium from a duplex α + γ mixture to 100% α — the same single-phase state the benchmark reaches there.</w:t>
      </w:r>
    </w:p>
    <w:p>
      <w:pPr>
        <w:pStyle w:val="BodyText"/>
      </w:pPr>
      <w:r>
        <w:t xml:space="preserve">The second addresses the Reviewer’s specific candidate, nickel, directly: a scan from 4.2 to 7.8 at% Ni (the two alloys’ measured values), everything else held at measured values. With carbon present, the α solvus does not move at all across the entire interval — restoring the benchmark’s own nickel content would not open the solution-treatment window by a single degree. What nickel</w:t>
      </w:r>
      <w:r>
        <w:t xml:space="preserve"> </w:t>
      </w:r>
      <w:r>
        <w:rPr>
          <w:i/>
          <w:iCs/>
        </w:rPr>
        <w:t xml:space="preserve">does</w:t>
      </w:r>
      <w:r>
        <w:t xml:space="preserve"> </w:t>
      </w:r>
      <w:r>
        <w:t xml:space="preserve">govern is the amount of ordered bcc the alloy can form (5.5% → 13.9% at 700 °C), precisely the B2 the design was reaching for. Sec. 4.2 states the separation in those terms: nickel sets how much B2 the alloy could form; carbon sets whether there is ever an α matrix in which to form it coherently.</w:t>
      </w:r>
    </w:p>
    <w:p>
      <w:pPr>
        <w:pStyle w:val="BodyText"/>
      </w:pPr>
      <w:r>
        <w:t xml:space="preserve">The claim itself has been tempered to match (abstract, Secs. 4.1, 4.2, Conclusions): carbon closes the single-phase α field</w:t>
      </w:r>
      <w:r>
        <w:t xml:space="preserve"> </w:t>
      </w:r>
      <w:r>
        <w:rPr>
          <w:i/>
          <w:iCs/>
        </w:rPr>
        <w:t xml:space="preserve">at the solution-treatment temperature</w:t>
      </w:r>
      <w:r>
        <w:t xml:space="preserve"> </w:t>
      </w:r>
      <w:r>
        <w:t xml:space="preserve">— elsewhere in the diagram the lower Al and Ni do move the phase boundary, and the text says so. The calculated control is a stand-in for, not a replacement of, the experiment: casting the carbon-free variant is named as the direct test. The calculations are validated against the benchmark alloy, whose single-phase field and ≈20% ordered bcc they reproduce without fitting.</w:t>
      </w:r>
    </w:p>
    <w:p>
      <w:pPr>
        <w:pStyle w:val="BodyText"/>
      </w:pPr>
      <w:r>
        <w:rPr>
          <w:b/>
          <w:bCs/>
        </w:rPr>
        <w:t xml:space="preserve">Comment 10.</w:t>
      </w:r>
      <w:r>
        <w:t xml:space="preserve"> </w:t>
      </w:r>
      <w:r>
        <w:rPr>
          <w:i/>
          <w:iCs/>
        </w:rPr>
        <w:t xml:space="preserve">The statement about B2 in Section 4.1 is too absolute.</w:t>
      </w:r>
      <w:r>
        <w:rPr>
          <w:i/>
          <w:iCs/>
        </w:rPr>
        <w:t xml:space="preserve"> </w:t>
      </w:r>
      <w:r>
        <w:rPr>
          <w:i/>
          <w:iCs/>
        </w:rPr>
        <w:t xml:space="preserve">“Omori-alloy relies on coherent, ordered β-NiAl (B2) precipitates”</w:t>
      </w:r>
      <w:r>
        <w:rPr>
          <w:i/>
          <w:iCs/>
        </w:rPr>
        <w:t xml:space="preserve"> </w:t>
      </w:r>
      <w:r>
        <w:rPr>
          <w:i/>
          <w:iCs/>
        </w:rPr>
        <w:t xml:space="preserve">may easily imply that B2 is the sole or necessary condition for superelasticity. Appropriate nanoscale B2 precipitates in conventional Fe-Mn-Al-Ni alloys do indeed help increase resistance to slip and improve transformation reversibility (Omori et al., Applied Physics Letters 101 (2012) 231907; La Roca et al., Journal of Alloys and Compounds 708 (2017) 422–427). However, superelasticity also depends on parent-phase stability, transformation temperature, grain size, grain orientation, texture, and the competition between transformation stress and plastic yield stress.</w:t>
      </w:r>
    </w:p>
    <w:p>
      <w:pPr>
        <w:pStyle w:val="BodyText"/>
      </w:pPr>
      <w:r>
        <w:rPr>
          <w:b/>
          <w:bCs/>
        </w:rPr>
        <w:t xml:space="preserve">Response.</w:t>
      </w:r>
      <w:r>
        <w:t xml:space="preserve"> </w:t>
      </w:r>
      <w:r>
        <w:t xml:space="preserve">Accepted in full. Section 4.1 now reads that coherent B2 precipitates</w:t>
      </w:r>
      <w:r>
        <w:t xml:space="preserve"> </w:t>
      </w:r>
      <w:r>
        <w:t xml:space="preserve">“contribute to, rather than solely determine, transformation reversibility,”</w:t>
      </w:r>
      <w:r>
        <w:t xml:space="preserve"> </w:t>
      </w:r>
      <w:r>
        <w:t xml:space="preserve">followed by the Reviewer’s list stated as such — parent-phase stability, transformation temperature, grain size, crystallographic orientation and texture, and the competition between transformation stress and plastic yield stress — with both supplied references cited (Omori et al., APL 101 (2012) 231907; La Roca et al., JALCOM 708 (2017) 422). The revision also adds the point from La Roca et al. that the precipitates are not even a purely mechanical contribution: by drawing Ni and Al out of solution they shift the surrounding matrix’s transformation temperatures, so ageing moves both the obstacle field and the thermodynamic setting at once. We note that the revision’s own diagnosis in fact rests on the first item of the Reviewer’s list — parent-phase stability — rather than on B2: the primary failure identified in Secs. 3.4/4.1 is that the parent phase itself is unavailable, with the precipitation question strictly downstream of that.</w:t>
      </w:r>
    </w:p>
    <w:p>
      <w:pPr>
        <w:pStyle w:val="BodyText"/>
      </w:pPr>
      <w:r>
        <w:rPr>
          <w:b/>
          <w:bCs/>
        </w:rPr>
        <w:t xml:space="preserve">Comment 11.</w:t>
      </w:r>
      <w:r>
        <w:t xml:space="preserve"> </w:t>
      </w:r>
      <w:r>
        <w:rPr>
          <w:i/>
          <w:iCs/>
        </w:rPr>
        <w:t xml:space="preserve">Section 4.2 interprets 600-700 °C as recovery, 800 °C as the onset of recrystallization, and 800-1200 °C as grain growth after complete recrystallization. However, these interpretations are based mainly on changes in strength and elongation and lack corresponding microstructural and EBSD evidence at each temperature. The statements</w:t>
      </w:r>
      <w:r>
        <w:rPr>
          <w:i/>
          <w:iCs/>
        </w:rPr>
        <w:t xml:space="preserve"> </w:t>
      </w:r>
      <w:r>
        <w:rPr>
          <w:i/>
          <w:iCs/>
        </w:rPr>
        <w:t xml:space="preserve">“from 800 to 1200 °C the wire is fully recrystallized”</w:t>
      </w:r>
      <w:r>
        <w:rPr>
          <w:i/>
          <w:iCs/>
        </w:rPr>
        <w:t xml:space="preserve"> </w:t>
      </w:r>
      <w:r>
        <w:rPr>
          <w:i/>
          <w:iCs/>
        </w:rPr>
        <w:t xml:space="preserve">and</w:t>
      </w:r>
      <w:r>
        <w:rPr>
          <w:i/>
          <w:iCs/>
        </w:rPr>
        <w:t xml:space="preserve"> </w:t>
      </w:r>
      <w:r>
        <w:rPr>
          <w:i/>
          <w:iCs/>
        </w:rPr>
        <w:t xml:space="preserve">“single-phase-controlled structural metal”</w:t>
      </w:r>
      <w:r>
        <w:rPr>
          <w:i/>
          <w:iCs/>
        </w:rPr>
        <w:t xml:space="preserve"> </w:t>
      </w:r>
      <w:r>
        <w:rPr>
          <w:i/>
          <w:iCs/>
        </w:rPr>
        <w:t xml:space="preserve">should not be presented as definitive conclusions without direct evidence.</w:t>
      </w:r>
    </w:p>
    <w:p>
      <w:pPr>
        <w:pStyle w:val="BodyText"/>
      </w:pPr>
      <w:r>
        <w:rPr>
          <w:b/>
          <w:bCs/>
        </w:rPr>
        <w:t xml:space="preserve">Response.</w:t>
      </w:r>
      <w:r>
        <w:t xml:space="preserve"> </w:t>
      </w:r>
      <w:r>
        <w:t xml:space="preserve">Accepted. Micrographs were not taken at every anneal temperature, so the recovery/recrystallization/growth reading is an inference from the mechanical response, and the section (now Sec. 4.3) has been rewritten to present it as exactly that: the interpretive language is downgraded throughout (</w:t>
      </w:r>
      <w:r>
        <w:t xml:space="preserve">“consistent with the onset of recrystallization,”</w:t>
      </w:r>
      <w:r>
        <w:t xml:space="preserve"> </w:t>
      </w:r>
      <w:r>
        <w:t xml:space="preserve">“we attribute,”</w:t>
      </w:r>
      <w:r>
        <w:t xml:space="preserve"> </w:t>
      </w:r>
      <w:r>
        <w:t xml:space="preserve">“reading these as a survey rather than a designed experiment”</w:t>
      </w:r>
      <w:r>
        <w:t xml:space="preserve">), the text states explicitly that</w:t>
      </w:r>
      <w:r>
        <w:t xml:space="preserve"> </w:t>
      </w:r>
      <w:r>
        <w:t xml:space="preserve">“we infer the recrystallization threshold from the mechanical response rather than observe it directly, since micrographs were not taken at every anneal temperature,”</w:t>
      </w:r>
      <w:r>
        <w:t xml:space="preserve"> </w:t>
      </w:r>
      <w:r>
        <w:t xml:space="preserve">and EBSD across the anneal series is named as the experiment that would settle it. The two specific phrases the Reviewer quotes are gone:</w:t>
      </w:r>
      <w:r>
        <w:t xml:space="preserve"> </w:t>
      </w:r>
      <w:r>
        <w:t xml:space="preserve">“fully recrystallized”</w:t>
      </w:r>
      <w:r>
        <w:t xml:space="preserve"> </w:t>
      </w:r>
      <w:r>
        <w:t xml:space="preserve">no longer appears as a definitive claim, and</w:t>
      </w:r>
      <w:r>
        <w:t xml:space="preserve"> </w:t>
      </w:r>
      <w:r>
        <w:t xml:space="preserve">“single-phase-controlled structural metal”</w:t>
      </w:r>
      <w:r>
        <w:t xml:space="preserve"> </w:t>
      </w:r>
      <w:r>
        <w:t xml:space="preserve">has been deleted outright — the Reviewer was doubly right about that one, since this alloy is explicitly two-phase and the phrase was wrong on its face, not merely unsupported.</w:t>
      </w:r>
    </w:p>
    <w:p>
      <w:pPr>
        <w:pStyle w:val="BodyText"/>
      </w:pPr>
      <w:r>
        <w:rPr>
          <w:b/>
          <w:bCs/>
        </w:rPr>
        <w:t xml:space="preserve">Comment 12.</w:t>
      </w:r>
      <w:r>
        <w:t xml:space="preserve"> </w:t>
      </w:r>
      <w:r>
        <w:rPr>
          <w:i/>
          <w:iCs/>
        </w:rPr>
        <w:t xml:space="preserve">The discussion in Section 4.3 overgeneralizes the limitations of AI-assisted design. This study examines only one candidate selected by the researchers from a range proposed by the model. At most, the current results show that this specific candidate and the processing route used in this study did not achieve the target performance. The manuscript should be repositioned as a case study of the composition-processing-microstructure-property relationships of a specific Fe-Mn-Al-Ni-Si-C alloy, with AI treated only as the source of the candidate rather than as the basis for the main generalized conclusion of the manuscript.</w:t>
      </w:r>
    </w:p>
    <w:p>
      <w:pPr>
        <w:pStyle w:val="BodyText"/>
      </w:pPr>
      <w:r>
        <w:rPr>
          <w:b/>
          <w:bCs/>
        </w:rPr>
        <w:t xml:space="preserve">Response.</w:t>
      </w:r>
      <w:r>
        <w:t xml:space="preserve"> </w:t>
      </w:r>
      <w:r>
        <w:t xml:space="preserve">We concede the overgeneralization and have corrected it, and we ask the Reviewer’s consideration for retaining one bounded methodological claim — with the reasons set out below.</w:t>
      </w:r>
    </w:p>
    <w:p>
      <w:pPr>
        <w:pStyle w:val="BodyText"/>
      </w:pPr>
      <w:r>
        <w:t xml:space="preserve">What is conceded: the sweeping language is gone. Statements of the form</w:t>
      </w:r>
      <w:r>
        <w:t xml:space="preserve"> </w:t>
      </w:r>
      <w:r>
        <w:t xml:space="preserve">“AI models cannot yet capture…”</w:t>
      </w:r>
      <w:r>
        <w:t xml:space="preserve"> </w:t>
      </w:r>
      <w:r>
        <w:t xml:space="preserve">have been replaced by findings about this case; Sec. 4.4 now contains an explicit scope paragraph —</w:t>
      </w:r>
      <w:r>
        <w:t xml:space="preserve"> </w:t>
      </w:r>
      <w:r>
        <w:t xml:space="preserve">“One composition, proposed by one agent in one session and processed by one route, is a case study and not an evaluation of AI-assisted alloy design as a practice. Nothing here establishes a failure rate…”</w:t>
      </w:r>
      <w:r>
        <w:t xml:space="preserve"> </w:t>
      </w:r>
      <w:r>
        <w:t xml:space="preserve">— and the first limitation listed in the Conclusions says the same. The experimental claims of the paper are exactly what the Reviewer says they are: this candidate, under this route, did not achieve the target performance, and the paper now claims no more than that from the experiments. The revision also strengthens the case-study half of the paper on its own terms, as the Reviewer’s framing invites — the composition-processing-microstructure-property relationships of this specific alloy now occupy Secs. 3.4, 3.5, 4.1, 4.2 and 4.3, with the alloy ultimately classified against the lightweight-steel family whose chemistry it shares.</w:t>
      </w:r>
    </w:p>
    <w:p>
      <w:pPr>
        <w:pStyle w:val="BodyText"/>
      </w:pPr>
      <w:r>
        <w:t xml:space="preserve">What we ask to retain, and why: one methodological conclusion that survives the n = 1 objection because it does not rest on the sample. The failure mode found here — a required phase field lying above the temperature range in which the alloy can be processed — was diagnosed by an equilibrium calculation that takes minutes, uses openly available databases, and is validated in this same study against the benchmark. The claim</w:t>
      </w:r>
      <w:r>
        <w:t xml:space="preserve"> </w:t>
      </w:r>
      <w:r>
        <w:t xml:space="preserve">“LLM-proposed compositions should be screened this way before synthesis”</w:t>
      </w:r>
      <w:r>
        <w:t xml:space="preserve"> </w:t>
      </w:r>
      <w:r>
        <w:t xml:space="preserve">is a conclusion about a</w:t>
      </w:r>
      <w:r>
        <w:t xml:space="preserve"> </w:t>
      </w:r>
      <w:r>
        <w:rPr>
          <w:i/>
          <w:iCs/>
        </w:rPr>
        <w:t xml:space="preserve">workflow step</w:t>
      </w:r>
      <w:r>
        <w:t xml:space="preserve">: its warrant is the diagnosis, not a statistic over candidates, and it would remain true even if most LLM-proposed alloys succeeded, because screening is cheap and failure is expensive at any failure rate. Sec. 4.4 grounds it in a documentary finding rather than a generalization — the agent’s own report recommends the CALPHAD screening that was never performed, so the lesson attaches to where the workflow terminated, not to what the model knew. We believe this division — experimental claims bounded as a case study, the methodological claim retained because it rests on the diagnosis — gives the Reviewer’s objection its full force without discarding what makes the case worth reporting.</w:t>
      </w:r>
    </w:p>
    <w:p>
      <w:r>
        <w:pict>
          <v:rect style="width:0;height:1.5pt" o:hralign="center" o:hrstd="t" o:hr="t"/>
        </w:pict>
      </w:r>
    </w:p>
    <w:p>
      <w:pPr>
        <w:pStyle w:val="FirstParagraph"/>
      </w:pPr>
      <w:r>
        <w:t xml:space="preserve">We thank the Reviewer again. This review required the most work of the three we received, and the manuscript’s central argument — now resting on validated calculation rather than on a two-alloy comparison — is largely a product of it.</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2026-08-20T14:11:41Z</dcterms:created>
  <dcterms:modified xsi:type="dcterms:W3CDTF">2026-08-20T14:11:41Z</dcterms:modified>
</cp:coreProperties>
</file>

<file path=docProps/custom.xml><?xml version="1.0" encoding="utf-8"?>
<Properties xmlns="http://schemas.openxmlformats.org/officeDocument/2006/custom-properties" xmlns:vt="http://schemas.openxmlformats.org/officeDocument/2006/docPropsVTypes"/>
</file>