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A large language model (LLM) deep-research agent proposed a super-elastic Fe-Mn-Al-Ni-Si-C alloy; we tested it by tensile testing and synchrotron diffraction alongside a benchmark Fe-Mn-Al-Ni alloy. The melt (nominal 32.3 wt% Mn, 6.4 wt% Al; 31.8 and 6.2 as analyzed) lies outside the proposed window (Mn 20–30, Al 8–12 wt%). Measured: no super-elasticity appeared after 1-minute anneals at 600–1200 °C or a 200 °C/3 h age, nor shape-memory recovery in a loading–unloading–heating test, whereas the benchmark recovered ≈0.5%; 0.2% proof stress spanned 519–1908 MPa. Quenched from 1200 °C, the alloy is a γ-majority (≈62%, by grain-statistics-limited Rietveld refinement) FCC γ + BCC α duplex with minor ordered Fe₃Al, unchanged by deformation. Calculated: in three CALPHAD databases, two of which reproduce the benchmark, the alloy begins to melt (≈1240–1295 °C) before any single-phase α field opens; deleting its ≈0.10 wt% carbon opens one at ≈1130–1160 °C, and the carbon-bearing compositions sampled inside the window reach no single-phase disordered α at 1200 °C. Open: whether the γ excess over the calculated α-majority reflects incomplete equilibration at 1200 °C or α→γ on cooling is unresolved. LLM-proposed compositions should be screened for competing-phase stability and interstitial content before synthesis.</w:t>
      </w:r>
    </w:p>
    <w:p>
      <w:pPr>
        <w:pStyle w:val="BodyText"/>
      </w:pPr>
      <w:r>
        <w:rPr>
          <w:b/>
          <w:bCs/>
        </w:rPr>
        <w:t xml:space="preserve">Keywords:</w:t>
      </w:r>
      <w:r>
        <w:t xml:space="preserve"> </w:t>
      </w:r>
      <w:r>
        <w:t xml:space="preserve">Fe-based shape memory alloy; super-elasticity; large language model; alloy design; phase stability; CALPHAD;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Materials discovery has been advanced by deep-learning models trained on first-principles thermodynamics. For example, DeepMind’s GNoME predicted more than 2.2 million previously unreported crystal structures with high precision against DFT validation</w:t>
      </w:r>
      <w:r>
        <w:t xml:space="preserve"> </w:t>
      </w:r>
      <w:r>
        <w:t xml:space="preserve">(Ref 1)</w:t>
      </w:r>
      <w:r>
        <w:t xml:space="preserve">, and agentic large language models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AI-proposed, thermodynamically screened candidates. 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w:t>
      </w:r>
      <w:r>
        <w:t xml:space="preserve"> </w:t>
      </w:r>
      <w:r>
        <w:t xml:space="preserve">(Ref 4)</w:t>
      </w:r>
      <w:r>
        <w:t xml:space="preserve">; generative inverse design instead learns the composition–property mapping and samples new candidates directly from a target property</w:t>
      </w:r>
      <w:r>
        <w:t xml:space="preserve"> </w:t>
      </w:r>
      <w:r>
        <w:t xml:space="preserve">(Ref 5)</w:t>
      </w:r>
      <w:r>
        <w:t xml:space="preserve">; and LLM-based hypothesis generation reasons over the published literature in natural language, producing candidates together with a stated rationale</w:t>
      </w:r>
      <w:r>
        <w:t xml:space="preserve"> </w:t>
      </w:r>
      <w:r>
        <w:t xml:space="preserve">(Ref 6)</w:t>
      </w:r>
      <w:r>
        <w:t xml:space="preserve">. These approaches differ in what they take as input and in how much of their reasoning is inspectable, but they share a common output: a composition that has never been made.</w:t>
      </w:r>
    </w:p>
    <w:p>
      <w:pPr>
        <w:pStyle w:val="BodyText"/>
      </w:pPr>
      <w:r>
        <w:t xml:space="preserve">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only way to learn what these workflows systematically miss. Current generative materials models typically optimize for thermodynamic stability (formation energy, convex-hull distance) but may not, in general, explicitly consider the kinetic barriers governing microstructure evolution during processing</w:t>
      </w:r>
      <w:r>
        <w:t xml:space="preserve"> </w:t>
      </w:r>
      <w:r>
        <w:t xml:space="preserve">(Ref 1)</w:t>
      </w:r>
      <w:r>
        <w:t xml:space="preserve">; nor need they check that the phase fields their target microstructure requires are reachable by any processing route the laboratory can actually run. A composition whose target phase lies on the DFT convex hull might still be difficult to realize in practice. To the best of our knowledge, experimentally validated studies of LLM-hypothesized alloys remain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which make it widely used in medical devices, aerospace actuators, and damping applications</w:t>
      </w:r>
      <w:r>
        <w:t xml:space="preserve"> </w:t>
      </w:r>
      <w:r>
        <w:t xml:space="preserve">(Ref 9,10)</w:t>
      </w:r>
      <w:r>
        <w:t xml:space="preserve">. However, due to its relatively high manufacturing cost, the application of Nitinol in structural engineering such as prestressing tendons for concrete and seismic dampers remains very limited.</w:t>
      </w:r>
    </w:p>
    <w:p>
      <w:pPr>
        <w:pStyle w:val="BodyText"/>
      </w:pPr>
      <w:r>
        <w:t xml:space="preserve">Fe-based shape memory alloys offer a path to lower cost</w:t>
      </w:r>
      <w:r>
        <w:t xml:space="preserve"> </w:t>
      </w:r>
      <w:r>
        <w:t xml:space="preserve">(Ref 11)</w:t>
      </w:r>
      <w:r>
        <w:t xml:space="preserve">. The work of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adopted this alloy system and asked an LLM deep-research agent — which retrieves and reads sources at query time rather than being trained on a curated corpus — for lower-cost alternatives with the potential to exhibit super-elasticity; its report draws on 76 published and web sources (Sec. 2.1). We processed one of the LLM-hypothesized compositions alongside the alloy reported by Omori</w:t>
      </w:r>
      <w:r>
        <w:t xml:space="preserve"> </w:t>
      </w:r>
      <w:r>
        <w:rPr>
          <w:i/>
          <w:iCs/>
        </w:rPr>
        <w:t xml:space="preserve">et al.</w:t>
      </w:r>
      <w:r>
        <w:t xml:space="preserve"> </w:t>
      </w:r>
      <w:r>
        <w:t xml:space="preserve">(Ref 12)</w:t>
      </w:r>
      <w:r>
        <w:t xml:space="preserve">. Both alloys were then put through the same nominal processing route. Identical nominal parameters do not guarantee identical recrystallization, grain size, texture or precipitation state in two different compositions, so what follows is a comparison of how each alloy responds to a common route rather than a controlled isolation of composition; the limits of that comparison are stated in Sec. 4.1.</w:t>
      </w:r>
    </w:p>
    <w:p>
      <w:pPr>
        <w:pStyle w:val="BodyText"/>
      </w:pPr>
      <w:r>
        <w:t xml:space="preserve">The hypothesis under test is the agent’s own, and it is worth stating in its own terms before it is examined. Reasoning from the Fe-Mn-Al-Ni family, the agent proposed that Ni could be kept moderate to lower cost, that Si would compensate by stabilizing the BCC α parent and strengthening it in solid solution, and that a minor carbon addition would strengthen the parent further and, through fine carbides, raise the resistance to dislocation slip enough to favor stress-induced transformation over plasticity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This study tests one composition drawn from that hypothesis rather than validating the hypothesis as a whole: the alloy melted lies inside the proposed range in Si, Ni and C but outside it in Mn and Al (Sec. 2.1), so the range itself is examined by calculation. Secs. 3.1–3.3 report what the alloy did, as measured; Sec. 3.4 asks, by equilibrium calculation, whether the melted composition and compositions inside the proposed range can reach the single-phase α parent state the benchmark’s route requires; Sec. 4.1 keeps what was measured, what was calculated and what remains open apart, and Sec. 4.2 isolates carbon by a calculated control; and Sec. 4.4 asks what a design workflow would have had to do differently to catch the outcome before any metal was melted.</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Deep Research session</w:t>
      </w:r>
      <w:r>
        <w:t xml:space="preserve"> </w:t>
      </w:r>
      <w:r>
        <w:t xml:space="preserve">(Ref 2)</w:t>
      </w:r>
      <w:r>
        <w:t xml:space="preserve"> </w:t>
      </w:r>
      <w:r>
        <w:t xml:space="preserve">asked for iron-based compositions that might approach Nitinol-like pseudo-elasticity at substantially lower cost, reasoning from the Fe-Mn-Al-Ni family established by Omori and co-workers</w:t>
      </w:r>
      <w:r>
        <w:t xml:space="preserve"> </w:t>
      </w:r>
      <w:r>
        <w:t xml:space="preserve">(Ref 12,15)</w:t>
      </w:r>
      <w:r>
        <w:t xml:space="preserve"> </w:t>
      </w:r>
      <w:r>
        <w:t xml:space="preserve">and excluding expensive additions such as cobalt and tantalum. Its report —</w:t>
      </w:r>
      <w:r>
        <w:t xml:space="preserve"> </w:t>
      </w:r>
      <w:r>
        <w:rPr>
          <w:i/>
          <w:iCs/>
        </w:rPr>
        <w:t xml:space="preserve">New Fe-SMA Alloy Hypotheses</w:t>
      </w:r>
      <w:r>
        <w:t xml:space="preserve">, 41 pages drawing on 76 sources, all accessed 19 May 2025, exported 4 June 2025 — is supplied in full as Online Resource 1.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priority: three Fe-Mn-Al-(Ni) variants, two Fe-Mn-Si-Cr variants, and one Fe-Al-Cr-Mn interstitial alloy.</w:t>
      </w:r>
    </w:p>
    <w:p>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50Fe-30Mn-12Al-4Ni-4Si (at%) with 1000 ppm C — lies inside that range in silicon, nickel and carbon and outside it in manganese and aluminum: 32.3 wt% Mn against a ceiling of 30, and 6.4 wt% Al against a floor of 8. The report gives A2 as ranges in weight percent only; the composition drawn from it was chosen by the authors, specified in atomic percent, and took A2’s carbon option rather than its boron one. The aluminum shortfall is the larger of the two deviations, and larger than the weight percentages make it look, because in this alloy A2’s 8–12 wt% Al corresponds to 14.9–21.5 at% while the nominal composition carries 12.1 at% (11.9 at% as analyzed). Since aluminum is the strongest ferrite stabilizer present, the deviation runs in the austenite-forming direction — that is, toward the outcome actually observed — so it is a limitation of this study. It lies in the nominal composition itself and was not introduced by melting: the analyzed wire of this heat matches the nominal manganese and aluminum to within 0.6 wt% (</w:t>
      </w:r>
      <w:r>
        <w:rPr>
          <w:b/>
          <w:bCs/>
        </w:rPr>
        <w:t xml:space="preserve">Table 1</w:t>
      </w:r>
      <w:r>
        <w:t xml:space="preserve">). No composition inside the A2 window was melted, so the experiments reported here test the composition that was made and not Hypothesis A2 as a whole; what this paper says about the A2 window rests on equilibrium calculation alone (Sec. 3.4).</w:t>
      </w:r>
    </w:p>
    <w:p>
      <w:pPr>
        <w:pStyle w:val="BodyText"/>
      </w:pPr>
      <w:r>
        <w:t xml:space="preserve">The intended roles of the elements are those the report assigns them in A2: Fe, Mn, Al and Ni to form a BCC parent phase and coherent 5–15 nm β (NiAl-type) precipitates, with Ni kept moderate to lower cost; Si to strengthen the parent BCC matrix by solid solution, Si being also known to increase resistance to slip in ferritic structures and to potentially modify the stability or morphology of β precipitates or influence stacking-fault energy; and C for interstitial strengthening of the parent phase and possible formation of very fine, dispersed carbides. The report’s stated performance target for A2 was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alongside it. These alloys are hereafter named the LLM-alloy and benchmark alloy, respectively.</w:t>
      </w:r>
    </w:p>
    <w:p>
      <w:pPr>
        <w:pStyle w:val="BodyText"/>
      </w:pPr>
      <w:r>
        <w:t xml:space="preserve">Using high-purity raw elements, about 2 kg of each alloy was melted in a vacuum induction furnace and cast into ø50 mm ingots. Measured chemistries, determined by inductively coupled plasma atomic emission spectroscopy (ICP-AES) with carbon by ASTM E1019, are listed in</w:t>
      </w:r>
      <w:r>
        <w:t xml:space="preserve"> </w:t>
      </w:r>
      <w:r>
        <w:rPr>
          <w:b/>
          <w:bCs/>
        </w:rPr>
        <w:t xml:space="preserve">Table 1</w:t>
      </w:r>
      <w:r>
        <w:t xml:space="preserve">.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w:t>
      </w:r>
      <w:r>
        <w:t xml:space="preserve">(Ref 16)</w:t>
      </w:r>
      <w:r>
        <w:t xml:space="preserve"> </w:t>
      </w:r>
      <w:r>
        <w:t xml:space="preserve">and Fe-16Mn-9Al-0.9C-5Ni</w:t>
      </w:r>
      <w:r>
        <w:t xml:space="preserve"> </w:t>
      </w:r>
      <w:r>
        <w:t xml:space="preserve">(Ref 17)</w:t>
      </w:r>
      <w:r>
        <w:t xml:space="preserve">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behavior; any effect it had could only have degraded the benchmark, which makes the comparison drawn below conservative. Several ø13 mm rods were cut from the cast ingots by electrical discharge machining (EDM). These rods were homogenized at 1000 °C for 16 hours in argon atmosphere, then hot-rolled at 850 °C in multiple passes to reduce thickness, and subsequently cold-drawn to wire — 0.36 mm for the LLM-alloy and 0.64 mm for the benchmark. The benchmark specimen of the heating test measured 0.54 mm in the test record (Sec. 2.4). Severe work hardening during cold drawing necessitated intermediate annealing at 1000 °C under argon to restore ductility between draw passes. The amount of cold drawing was ≈85% area reduction after the last process anneal.</w:t>
      </w:r>
    </w:p>
    <w:bookmarkEnd w:id="11"/>
    <w:bookmarkStart w:id="12" w:name="heat-treatments"/>
    <w:p>
      <w:pPr>
        <w:pStyle w:val="Heading2"/>
      </w:pPr>
      <w:r>
        <w:t xml:space="preserve">2.2 Heat treatments</w:t>
      </w:r>
    </w:p>
    <w:p>
      <w:pPr>
        <w:pStyle w:val="FirstParagraph"/>
      </w:pPr>
      <w:r>
        <w:t xml:space="preserve">To test the effect of heat-treating temperature on mechanical properties, cold-drawn 0.36 mm LLM-alloy wires were heat treated in a strand furnace filled with argon at temperatures between 600 and 1200 °C for a dwell time of 1 to 80 minutes, followed by fast cooling to room temperature (the cooling rate on leaving the furnace was not measured). The 1-minute condition of the specimens of Figs. 2–7, including that of the benchmark wire, was a strand pass at 4 ft min⁻¹ through the hot zone;</w:t>
      </w:r>
      <w:r>
        <w:t xml:space="preserve"> </w:t>
      </w:r>
      <w:r>
        <w:t xml:space="preserve">“1 minute”</w:t>
      </w:r>
      <w:r>
        <w:t xml:space="preserve"> </w:t>
      </w:r>
      <w:r>
        <w:t xml:space="preserve">is the nominal dwell, the time at temperature set by the pass speed and the hot-zone length not having been measured separately, and the further specimens averaged in</w:t>
      </w:r>
      <w:r>
        <w:t xml:space="preserve"> </w:t>
      </w:r>
      <w:r>
        <w:rPr>
          <w:b/>
          <w:bCs/>
        </w:rPr>
        <w:t xml:space="preserve">Table 2</w:t>
      </w:r>
      <w:r>
        <w:t xml:space="preserve"> </w:t>
      </w:r>
      <w:r>
        <w:t xml:space="preserve">are recorded as given the same 1-minute treatment. The 40- and 80-minute conditions were static holds. Wire was also exposed above 1200 °C — static holds at 1250 °C for 5 and 20 minutes (one specimen each) and a cyclic exposure at 1300 °C (one specimen) — and heat treatment above 1200 °C caused severe oxidation or furnace contamination. Those conditions are not reported further; in particular, neither their microstructure nor any incipient melting, which the calculated solidus of Sec. 3.4 (≈1240–1295 °C) would allow, is examined here, and 1200 °C was taken as the practical upper limit of the processing window; it is the ceiling referred to in Secs. 3.4 and 4.1.</w:t>
      </w:r>
    </w:p>
    <w:p>
      <w:pPr>
        <w:pStyle w:val="BodyText"/>
      </w:pPr>
      <w:r>
        <w:t xml:space="preserve">Cyclic heat treatments of the type used to induce abnormal grain growth in this alloy family were applied to both alloys. The schedule differed with the stock treated, and the schedules whose results are reported in Sec. 3.5 are stated here. LLM-alloy rod of ≈1–1.3 mm diameter was held at 1200 °C for 30 minutes, water quenched, and re-heated to 900 °C for 15 minutes; this cycle was applied twice, followed by a final 1200 °C/30 min hold and water quench (the two-cycle schedule), or three times, followed by a final 1200 °C/60 min hold and water quench (the three-cycle schedule), and the three-cycle specimens tested mechanically also received the 200 °C/3 h age. In a separate run, 0.36 mm LLM-alloy wire and 0.64 mm benchmark wire were sealed together in a quartz tube under argon and given four 30-minute holds at 1200 °C, each of the first three followed by 10 minutes in the cold zone of the furnace, with a water quench after the fourth; this run had no 900 °C step, and the LLM-alloy wire examined in Sec. 3.1 is, on the processing log, the wire of this run. The 0.64 mm benchmark wire was also cycled under argon between 1200 °C (30 min) and 900 °C (10 min) five times and then held for 60 minutes at 1200 °C. These are treatments of the same type as the cyclic treatment of Omori</w:t>
      </w:r>
      <w:r>
        <w:t xml:space="preserve"> </w:t>
      </w:r>
      <w:r>
        <w:rPr>
          <w:i/>
          <w:iCs/>
        </w:rPr>
        <w:t xml:space="preserve">et al.</w:t>
      </w:r>
      <w:r>
        <w:t xml:space="preserve"> </w:t>
      </w:r>
      <w:r>
        <w:t xml:space="preserve">(Ref 18)</w:t>
      </w:r>
      <w:r>
        <w:t xml:space="preserve">, which carries the alloy repeatedly between the single-phase α field and the α + γ two-phase field; the rod schedule shares its 900 °C lower step and three cycles with that of Viebranz</w:t>
      </w:r>
      <w:r>
        <w:t xml:space="preserve"> </w:t>
      </w:r>
      <w:r>
        <w:rPr>
          <w:i/>
          <w:iCs/>
        </w:rPr>
        <w:t xml:space="preserve">et al.</w:t>
      </w:r>
      <w:r>
        <w:t xml:space="preserve"> </w:t>
      </w:r>
      <w:r>
        <w:t xml:space="preserve">(Ref 19)</w:t>
      </w:r>
      <w:r>
        <w:t xml:space="preserve">. What a cycle of this kind does in an alloy whose calculated constitution is α + γ at 1200 °C and, in the primary database, fully γ at 900 °C (Sec. 3.4) is taken up in Sec. 3.5.</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spectroscopy (EDS) were used to study microstructure and local chemistry.</w:t>
      </w:r>
    </w:p>
    <w:bookmarkEnd w:id="13"/>
    <w:bookmarkStart w:id="14" w:name="mechanical-testing"/>
    <w:p>
      <w:pPr>
        <w:pStyle w:val="Heading2"/>
      </w:pPr>
      <w:r>
        <w:t xml:space="preserve">2.4 Mechanical testing</w:t>
      </w:r>
    </w:p>
    <w:p>
      <w:pPr>
        <w:pStyle w:val="FirstParagraph"/>
      </w:pPr>
      <w:r>
        <w:t xml:space="preserve">Room-temperature cyclic tensile testing was performed on an Instron in displacement control. During the test, each specimen was loaded in successive increments of nominally 1% strain with an unloading after each, up to ≈8–12% strain or earlier fracture, and then loaded to fracture. 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w:t>
      </w:r>
      <w:r>
        <w:t xml:space="preserve"> </w:t>
      </w:r>
      <w:r>
        <w:t xml:space="preserve">(Ref 20)</w:t>
      </w:r>
      <w:r>
        <w:t xml:space="preserve">, and the parameters needed to run it are specified here. Engineering stress is computed from each specimen’s measured diameter as entered in the instrument record, and engineering strain is reported throughout as crosshead extension divided by the gauge length recorded by the instrument for that test, without extensometry, so the elastic portion of each curve carries the compliance of the load train and the moduli in</w:t>
      </w:r>
      <w:r>
        <w:t xml:space="preserve"> </w:t>
      </w:r>
      <w:r>
        <w:rPr>
          <w:b/>
          <w:bCs/>
        </w:rPr>
        <w:t xml:space="preserve">Table 2</w:t>
      </w:r>
      <w:r>
        <w:t xml:space="preserve"> </w:t>
      </w:r>
      <w:r>
        <w:t xml:space="preserve">are apparent rather than true. This test reveals the material’s super-elasticity. The gauge length was not the same for every dataset, and because crosshead strain over a short gauge is dominated by load-train and grip compliance, elongations measured on different gauges are not compared as strains in this paper. The gauge for each dataset is as follows (all specimens are listed in Table S1, Online Resource 2). The anneal sweep of</w:t>
      </w:r>
      <w:r>
        <w:t xml:space="preserve"> </w:t>
      </w:r>
      <w:r>
        <w:rPr>
          <w:b/>
          <w:bCs/>
        </w:rPr>
        <w:t xml:space="preserve">Table 2</w:t>
      </w:r>
      <w:r>
        <w:t xml:space="preserve"> </w:t>
      </w:r>
      <w:r>
        <w:t xml:space="preserve">(Sec. 3.2), on 0.36 mm wire, was run at a gauge length of 127 mm (5.000 in) and, for the annealed conditions, a crosshead speed of 0.25 in min⁻¹ (nominal strain rate 8.3 × 10⁻⁴ s⁻¹); three specimens were tested for each condition of</w:t>
      </w:r>
      <w:r>
        <w:t xml:space="preserve"> </w:t>
      </w:r>
      <w:r>
        <w:rPr>
          <w:b/>
          <w:bCs/>
        </w:rPr>
        <w:t xml:space="preserve">Table 2</w:t>
      </w:r>
      <w:r>
        <w:t xml:space="preserve">, every value there is the mean of three measurements, and the quoted uncertainty is one standard deviation over those three specimens; the aged condition of Sec. 3.2, which is not in</w:t>
      </w:r>
      <w:r>
        <w:t xml:space="preserve"> </w:t>
      </w:r>
      <w:r>
        <w:rPr>
          <w:b/>
          <w:bCs/>
        </w:rPr>
        <w:t xml:space="preserve">Table 2</w:t>
      </w:r>
      <w:r>
        <w:t xml:space="preserve">, is a single specimen. The loading–unloading–heating test described next was run on the same 127 mm gauge. The prolonged-anneal wires and the cyclically heat-treated specimens of Sec. 3.5 were tested at three gauges — 127 mm for the 40- and 80-minute wires and for the ≈1–1.3 mm rod specimens, 6.0 mm (0.236 in) for one further three-cycle rod specimen, and 25.4 mm (1.000 in) for the quartz-tube-cycled 0.36 mm wire — and the gauge is stated with each curve. A special loading–unloading–heating cyclic tensile test was also conducted to evaluate any potential shape-memory response. In this case, the samples reported here — one condition per alloy, 1200 °C for 1 minute (Sec. 3.2) — were loaded to 3% strain and unloaded to zero stress, after which the crosshead was returned to its starting position (nominal zero strain). At the same time, the sample was heated to ≈200 °C at a rate of ≈50 °C s⁻¹ and held for ≈10 s to trigger any potential reversal of martensite to austenite; at a diameter of 0.36 mm the wire reaches temperature through its full cross-section well within this hold. In this test, any shape-memory effect would be revealed during the heating stage, which causes the reloading stress to rise at a lower deformation strain.</w:t>
      </w:r>
    </w:p>
    <w:bookmarkEnd w:id="14"/>
    <w:bookmarkStart w:id="15" w:name="synchrotron-x-ray-diffraction"/>
    <w:p>
      <w:pPr>
        <w:pStyle w:val="Heading2"/>
      </w:pPr>
      <w:r>
        <w:t xml:space="preserve">2.5 Synchrotron X-ray diffraction</w:t>
      </w:r>
    </w:p>
    <w:p>
      <w:pPr>
        <w:pStyle w:val="FirstParagraph"/>
      </w:pPr>
      <w:r>
        <w:t xml:space="preserve">To identify phase constitution and potential phase change, synchrotron XRD measurements were performed at the ultra-hard X-ray multifunctional application beamline BL12SW of the Shanghai Synchrotron Radiation Facility (SSRF)</w:t>
      </w:r>
      <w:r>
        <w:t xml:space="preserve"> </w:t>
      </w:r>
      <w:r>
        <w:t xml:space="preserve">(Ref 21,22)</w:t>
      </w:r>
      <w:r>
        <w:t xml:space="preserve">. The incident wavelength was λ = 0.12587 Å with a beam size of 0.5 × 0.5 mm². Two-dimensional Debye–Scherrer patterns were collected, one or two frames per specimen, from separate specimens of each alloy before and after tensile deformation (10% strain for the LLM-alloy, 8% for the benchmark) to test for any potential phase transformation, and from the cyclically treated LLM-alloy rod examined in Sec. 3.3. These 2D images were processed using FIT2D</w:t>
      </w:r>
      <w:r>
        <w:t xml:space="preserve"> </w:t>
      </w:r>
      <w:r>
        <w:t xml:space="preserve">(Ref 23)</w:t>
      </w:r>
      <w:r>
        <w:t xml:space="preserve">, where diffraction data were sliced at 5-degree intervals along the 360-degree azimuth and integrated to generate 72 diffraction spectra, which were then fitted by Rietveld refinement</w:t>
      </w:r>
      <w:r>
        <w:t xml:space="preserve"> </w:t>
      </w:r>
      <w:r>
        <w:t xml:space="preserve">(Ref 24)</w:t>
      </w:r>
      <w:r>
        <w:t xml:space="preserve"> </w:t>
      </w:r>
      <w:r>
        <w:t xml:space="preserve">in MAUD version 2.33</w:t>
      </w:r>
      <w:r>
        <w:t xml:space="preserve"> </w:t>
      </w:r>
      <w:r>
        <w:t xml:space="preserve">(Ref 25)</w:t>
      </w:r>
      <w:r>
        <w:t xml:space="preserve"> </w:t>
      </w:r>
      <w:r>
        <w:t xml:space="preserve">to identify phase constitutions, volume fractions, and crystal orientations of the different phases. All azimuthal spectra were refined simultaneously against a three-phase model — γ (Fm-3m), α (Im-3m) and D0₃ Fe₃Al (Fm-3m) — with lattice parameters fixed, not refined, at a = 3.6366, 2.8865 and 5.7734 Å respectively (5.7801 Å for D0₃ in the refinement of the deformed specimen). Crystallographic texture was treated explicitly by the E-WIMV orientation-distribution-function algorithm rather than by a preferred-orientation correction; this is necessary here because the cold-drawn wire carries a strong fiber texture, so that no single azimuthal slice is representative of the bulk and the azimuthal dimension must be retained in the fit. Profile residuals are quoted with the corresponding patterns in Sec. 3.3. Quantitative refinement proved feasible for the LLM-alloy only; the reason is microstructural and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were computed with the CALPHAD method</w:t>
      </w:r>
      <w:r>
        <w:t xml:space="preserve"> </w:t>
      </w:r>
      <w:r>
        <w:t xml:space="preserve">(Ref 26)</w:t>
      </w:r>
      <w:r>
        <w:t xml:space="preserve"> </w:t>
      </w:r>
      <w:r>
        <w:t xml:space="preserve">using pycalphad 0.11.2, an open-source Python implementation of the Gibbs-energy-minimization formalism</w:t>
      </w:r>
      <w:r>
        <w:t xml:space="preserve"> </w:t>
      </w:r>
      <w:r>
        <w:t xml:space="preserve">(Ref 27)</w:t>
      </w:r>
      <w:r>
        <w:t xml:space="preserve">. Isoplethal step diagrams were calculated at 1 atm from 400 to 1400 °C in 10 °C increments, with the liquid phase and every other phase listed for each database in Table S2 (Online Resource 2) included in every calculation; a first pass on a 20 °C grid reproduced every shared point exactly, so the results do not depend on the temperature step. They can depend on the density of the composition grid from which the global Gibbs-energy minimization starts: near the solidus of the LLM-alloy, different densities converged to different states, and for those temperatures in the step diagrams (Fig. 9, Tables 3 and 4) the state of lowest Gibbs energy across a ladder of densities was retained; the nickel and composition scans of Sec. 3.4 were not arbitrated (Table S2). Starting grids were 500 points per degree of freedom (2000 for mc_fe v2.059), and the density ladders used for this arbitration spanned 300–4000 points per degree of freedom. Input compositions were the ICP-AES chemistries of</w:t>
      </w:r>
      <w:r>
        <w:t xml:space="preserve"> </w:t>
      </w:r>
      <w:r>
        <w:rPr>
          <w:b/>
          <w:bCs/>
        </w:rPr>
        <w:t xml:space="preserve">Table 1</w:t>
      </w:r>
      <w:r>
        <w:t xml:space="preserve"> </w:t>
      </w:r>
      <w:r>
        <w:t xml:space="preserve">converted to atomic percent, so that the calculations describe the alloys as analyzed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heats can do.</w:t>
      </w:r>
    </w:p>
    <w:p>
      <w:pPr>
        <w:pStyle w:val="BodyText"/>
      </w:pPr>
      <w:r>
        <w:t xml:space="preserve">No single publicly available thermodynamic database assesses Fe–Mn–Al–Ni–Si–C simultaneously</w:t>
      </w:r>
      <w:r>
        <w:t xml:space="preserve"> </w:t>
      </w:r>
      <w:r>
        <w:rPr>
          <w:i/>
          <w:iCs/>
        </w:rPr>
        <w:t xml:space="preserve">and</w:t>
      </w:r>
      <w:r>
        <w:t xml:space="preserve"> </w:t>
      </w:r>
      <w:r>
        <w:t xml:space="preserve">models the B2, D0₃ and κ ordered phases relevant here, so three independent assessments were used and only their points of agreement are reported. Agreement between separately assessed databases is stronger evidence than a single calculation. The primary database was</w:t>
      </w:r>
      <w:r>
        <w:t xml:space="preserve"> </w:t>
      </w:r>
      <w:r>
        <w:rPr>
          <w:b/>
          <w:bCs/>
        </w:rPr>
        <w:t xml:space="preserve">mpea-02b</w:t>
      </w:r>
      <w:r>
        <w:t xml:space="preserve"> </w:t>
      </w:r>
      <w:r>
        <w:t xml:space="preserve">(Ref 28,29)</w:t>
      </w:r>
      <w:r>
        <w:t xml:space="preserve">, the only one covering Fe–Mn–Al–Ni–C together, in which B2 is treated as an ordered partition of the disordered A2 lattice; it does not contain Si.</w:t>
      </w:r>
      <w:r>
        <w:t xml:space="preserve"> </w:t>
      </w:r>
      <w:r>
        <w:rPr>
          <w:b/>
          <w:bCs/>
        </w:rPr>
        <w:t xml:space="preserve">PrecHiMn-04</w:t>
      </w:r>
      <w:r>
        <w:t xml:space="preserve"> </w:t>
      </w:r>
      <w:r>
        <w:t xml:space="preserve">(Ref 30)</w:t>
      </w:r>
      <w:r>
        <w:t xml:space="preserve"> </w:t>
      </w:r>
      <w:r>
        <w:t xml:space="preserve">was used as a cross-check because it is the only one that models D0₃ (through a four-sublattice bcc description) and κ-(Fe,Mn)₃AlC while also carrying Si, though it contains no Ni.</w:t>
      </w:r>
      <w:r>
        <w:t xml:space="preserve"> </w:t>
      </w:r>
      <w:r>
        <w:rPr>
          <w:b/>
          <w:bCs/>
        </w:rPr>
        <w:t xml:space="preserve">mc_fe v2.059</w:t>
      </w:r>
      <w:r>
        <w:t xml:space="preserve"> </w:t>
      </w:r>
      <w:r>
        <w:t xml:space="preserve">(Ref 31)</w:t>
      </w:r>
      <w:r>
        <w:t xml:space="preserve"> </w:t>
      </w:r>
      <w:r>
        <w:t xml:space="preserve">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modeled elements from the chemistries quoted above by at most ≈1.1 at% (Fe) in mpea-02b and ≈2.3 at% (Fe) in PrecHiMn-04, which lacks Ni, so that the composition solved in mpea-02b for the LLM-alloy is Fe–30.5Mn–12.2Al–4.3Ni–0.46C.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pPr>
        <w:pStyle w:val="BodyText"/>
      </w:pPr>
      <w:r>
        <w:t xml:space="preserve">Four limitations should be borne in mind when reading these calculations. First, they describe equilibrium, whereas the wires were annealed for 1 to 80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 Both of the other databases carry Si at its measured 2.04 at%, and both return</w:t>
      </w:r>
      <w:r>
        <w:t xml:space="preserve"> </w:t>
      </w:r>
      <w:r>
        <w:rPr>
          <w:i/>
          <w:iCs/>
        </w:rPr>
        <w:t xml:space="preserve">less</w:t>
      </w:r>
      <w:r>
        <w:t xml:space="preserve"> </w:t>
      </w:r>
      <w:r>
        <w:t xml:space="preserve">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unphysical β-Mn-dominated result below ≈600 °C; its use is therefore restricted to the D0₃ and κ questions and to the high-temperature α field. All three databases were used as distributed in the open multicomponent-database collection of the pycalphad project, without modification; the scripts, input compositions, phase lists and raw output are available as stated under Data availability.</w:t>
      </w:r>
    </w:p>
    <w:p>
      <w:r>
        <w:pict>
          <v:rect style="width:0;height:1.5pt" o:hralign="center" o:hrstd="t" o:hr="t"/>
        </w:pict>
      </w:r>
    </w:p>
    <w:bookmarkEnd w:id="16"/>
    <w:bookmarkEnd w:id="17"/>
    <w:bookmarkStart w:id="23" w:name="experiment-results"/>
    <w:p>
      <w:pPr>
        <w:pStyle w:val="Heading1"/>
      </w:pPr>
      <w:r>
        <w:t xml:space="preserve">3. Experiment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LLM-alloy after heat treatment at 1200 °C for 1 minute. The material exhibits a highly refined, fine-grained equiaxed microstructure with average grain diameters well under 20 µm. Scanning electron microscopy (</w:t>
      </w:r>
      <w:r>
        <w:rPr>
          <w:b/>
          <w:bCs/>
        </w:rPr>
        <w:t xml:space="preserve">Fig. 1b</w:t>
      </w:r>
      <w:r>
        <w:t xml:space="preserve">) resolves this morphology as an intimately interlocked two-phase mixture of a darker gray constituent and a brighter, blockier one. EDS detected higher Al in the darker constituent and higher Mn in the brighter one, consistent with a duplex structure in which the Al-rich regions are BCC α-phase and the Mn-rich regions are FCC γ-phase.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 Prolonging the annealing duration to 40 minutes at the same temperature (</w:t>
      </w:r>
      <w:r>
        <w:rPr>
          <w:b/>
          <w:bCs/>
        </w:rPr>
        <w:t xml:space="preserve">Fig. 1c</w:t>
      </w:r>
      <w:r>
        <w:t xml:space="preserve">)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 xml:space="preserve">Fig. 1d</w:t>
      </w:r>
      <w:r>
        <w:t xml:space="preserve"> </w:t>
      </w:r>
      <w:r>
        <w:t xml:space="preserve">shows the wire after the cyclic abnormal-grain-growth treatment of Sec. 2.2; the response to that treatment is analyzed in Sec. 3.5. One feature of the panel belongs here, because it concerns identification rather than grain growth. The structure in</w:t>
      </w:r>
      <w:r>
        <w:t xml:space="preserve"> </w:t>
      </w:r>
      <w:r>
        <w:rPr>
          <w:b/>
          <w:bCs/>
        </w:rPr>
        <w:t xml:space="preserve">Fig. 1d</w:t>
      </w:r>
      <w:r>
        <w:t xml:space="preserve"> </w:t>
      </w:r>
      <w:r>
        <w:t xml:space="preserve">reads more as a transformation-refined lamellar or lath α + γ morphology than as a simply finer equiaxed grain structure. Whether this alloy undergoes a martensitic or Widmanstätten-type γ ↔ α transformation during quenching is not established by the present data (Sec. 4.1); if it does, the apparently fine</w:t>
      </w:r>
      <w:r>
        <w:t xml:space="preserve"> </w:t>
      </w:r>
      <w:r>
        <w:t xml:space="preserve">“grain size”</w:t>
      </w:r>
      <w:r>
        <w:t xml:space="preserve"> </w:t>
      </w:r>
      <w:r>
        <w:t xml:space="preserve">may largely reflect fine transformation packets or colonies inside larger parent grains, not a reduction in the true parent grain size. EBSD grain-boundary mapping would settle the distinction and is recommended as future work. The morphology is noted here because it bears on the question left open in Sec. 4.1 — whether either constituent formed in part during the quench — and does not by itself decide it.</w:t>
      </w:r>
    </w:p>
    <w:bookmarkEnd w:id="18"/>
    <w:bookmarkStart w:id="19" w:name="cyclic-stressstrain-response"/>
    <w:p>
      <w:pPr>
        <w:pStyle w:val="Heading2"/>
      </w:pPr>
      <w:r>
        <w:t xml:space="preserve">3.2 Cyclic stress–strain response</w:t>
      </w:r>
    </w:p>
    <w:p>
      <w:pPr>
        <w:pStyle w:val="FirstParagraph"/>
      </w:pPr>
      <w:r>
        <w:t xml:space="preserve">Cyclic tensile stress–strain curves for the LLM-alloy after heat treatment at different temperatures are shown in</w:t>
      </w:r>
      <w:r>
        <w:t xml:space="preserve"> </w:t>
      </w:r>
      <w:r>
        <w:rPr>
          <w:b/>
          <w:bCs/>
        </w:rPr>
        <w:t xml:space="preserve">Fig. 2</w:t>
      </w:r>
      <w:r>
        <w:t xml:space="preserve">, and the corresponding data are listed in</w:t>
      </w:r>
      <w:r>
        <w:t xml:space="preserve"> </w:t>
      </w:r>
      <w:r>
        <w:rPr>
          <w:b/>
          <w:bCs/>
        </w:rPr>
        <w:t xml:space="preserve">Table 2</w:t>
      </w:r>
      <w:r>
        <w:t xml:space="preserve">. This information reveals a broad picture of how heat treatment governs the alloy’s mechanical properties. The response is strongly anneal-dependent: low strand-anneal temperatures (600–700 °C) leave the wire with high strength but brittleness (tensile strengths of ≈1876–2254 MPa and yield strengths of ≈1635–1908 MPa, but elongation of only ≈2%), reflecting incomplete recrystallization of the cold-drawn wire, whereas annealing at 800–1200 °C progressively softens the wire and restores ductility, with elongation peaking near 33% at 1000 °C. The elastic modulus, E, stays in the ≈150–162 GPa range across the well-annealed conditions. Across all LLM-alloy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departure from linear unloading visible at the scale of</w:t>
      </w:r>
      <w:r>
        <w:t xml:space="preserve"> </w:t>
      </w:r>
      <w:r>
        <w:rPr>
          <w:b/>
          <w:bCs/>
        </w:rPr>
        <w:t xml:space="preserve">Fig. 2</w:t>
      </w:r>
      <w:r>
        <w:t xml:space="preserve">; because E is the apparent crosshead modulus (Sec. 2.4), this is a statement about the linearity of unloading rather than a measured recovery threshold. It has been reported that aging at 200 °C can improve the pseudo-elasticity of Fe-Mn-Al-Ni alloy</w:t>
      </w:r>
      <w:r>
        <w:t xml:space="preserve"> </w:t>
      </w:r>
      <w:r>
        <w:t xml:space="preserve">(Ref 32,33)</w:t>
      </w:r>
      <w:r>
        <w:t xml:space="preserve">; this was not the case for the LLM-alloy (</w:t>
      </w:r>
      <w:r>
        <w:rPr>
          <w:b/>
          <w:bCs/>
        </w:rPr>
        <w:t xml:space="preserve">Fig. 2h</w:t>
      </w:r>
      <w:r>
        <w:t xml:space="preserve">).</w:t>
      </w:r>
    </w:p>
    <w:p>
      <w:pPr>
        <w:pStyle w:val="BodyText"/>
      </w:pPr>
      <w:r>
        <w:rPr>
          <w:b/>
          <w:bCs/>
        </w:rPr>
        <w:t xml:space="preserve">Fig. 2</w:t>
      </w:r>
      <w:r>
        <w:t xml:space="preserve"> </w:t>
      </w:r>
      <w:r>
        <w:t xml:space="preserve">shows the following. After the 600 °C anneal (</w:t>
      </w:r>
      <w:r>
        <w:rPr>
          <w:b/>
          <w:bCs/>
        </w:rPr>
        <w:t xml:space="preserve">Fig. 2a</w:t>
      </w:r>
      <w:r>
        <w:t xml:space="preserve">) the wire is stronger even than in the as-drawn state, reaching ≈2250 MPa, yet fails at ≈2.2% strain: the treatment has relieved drawing stresses without restoring formability. The 700 °C condition (</w:t>
      </w:r>
      <w:r>
        <w:rPr>
          <w:b/>
          <w:bCs/>
        </w:rPr>
        <w:t xml:space="preserve">Fig. 2b</w:t>
      </w:r>
      <w:r>
        <w:t xml:space="preserve">) is barely different. At 800 °C (</w:t>
      </w:r>
      <w:r>
        <w:rPr>
          <w:b/>
          <w:bCs/>
        </w:rPr>
        <w:t xml:space="preserve">Fig. 2c</w:t>
      </w:r>
      <w:r>
        <w:t xml:space="preserve">) the behavior changes character — yielding near 1150 MPa is followed by little work hardening (</w:t>
      </w:r>
      <w:r>
        <w:rPr>
          <w:b/>
          <w:bCs/>
        </w:rPr>
        <w:t xml:space="preserve">Table 2</w:t>
      </w:r>
      <w:r>
        <w:t xml:space="preserve">) and the specimen sustains cycling to 10% strain — and 900 °C (</w:t>
      </w:r>
      <w:r>
        <w:rPr>
          <w:b/>
          <w:bCs/>
        </w:rPr>
        <w:t xml:space="preserve">Fig. 2d</w:t>
      </w:r>
      <w:r>
        <w:t xml:space="preserve">) continues the same softening. At 1000 °C (</w:t>
      </w:r>
      <w:r>
        <w:rPr>
          <w:b/>
          <w:bCs/>
        </w:rPr>
        <w:t xml:space="preserve">Fig. 2e</w:t>
      </w:r>
      <w:r>
        <w:t xml:space="preserve">) yielding falls to ≈675 MPa and is followed by steady work hardening, easing further at 1100 °C (</w:t>
      </w:r>
      <w:r>
        <w:rPr>
          <w:b/>
          <w:bCs/>
        </w:rPr>
        <w:t xml:space="preserve">Fig. 2f</w:t>
      </w:r>
      <w:r>
        <w:t xml:space="preserve">) and reaching ≈520 MPa at 1200 °C (</w:t>
      </w:r>
      <w:r>
        <w:rPr>
          <w:b/>
          <w:bCs/>
        </w:rPr>
        <w:t xml:space="preserve">Fig. 2g</w:t>
      </w:r>
      <w:r>
        <w:t xml:space="preserve">).</w:t>
      </w:r>
      <w:r>
        <w:t xml:space="preserve"> </w:t>
      </w:r>
      <w:r>
        <w:rPr>
          <w:b/>
          <w:bCs/>
        </w:rPr>
        <w:t xml:space="preserve">Fig. 2h</w:t>
      </w:r>
      <w:r>
        <w:t xml:space="preserve"> </w:t>
      </w:r>
      <w:r>
        <w:t xml:space="preserve">repeats the 1200 °C condition with the 200 °C / 3 h age applied and is indistinguishable from</w:t>
      </w:r>
      <w:r>
        <w:t xml:space="preserve"> </w:t>
      </w:r>
      <w:r>
        <w:rPr>
          <w:b/>
          <w:bCs/>
        </w:rPr>
        <w:t xml:space="preserve">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w:t>
      </w:r>
      <w:r>
        <w:t xml:space="preserve"> </w:t>
      </w:r>
      <w:r>
        <w:rPr>
          <w:b/>
          <w:bCs/>
        </w:rPr>
        <w:t xml:space="preserve">Table 2</w:t>
      </w:r>
      <w:r>
        <w:t xml:space="preserve"> </w:t>
      </w:r>
      <w:r>
        <w:t xml:space="preserve">are therefore shown in full; the remaining row of</w:t>
      </w:r>
      <w:r>
        <w:t xml:space="preserve"> </w:t>
      </w:r>
      <w:r>
        <w:rPr>
          <w:b/>
          <w:bCs/>
        </w:rPr>
        <w:t xml:space="preserve">Table 2</w:t>
      </w:r>
      <w:r>
        <w:t xml:space="preserve">, the as-drawn state, fractures at 2.0% with essentially no plastic range and its properties are read from the table.</w:t>
      </w:r>
    </w:p>
    <w:p>
      <w:pPr>
        <w:pStyle w:val="BodyText"/>
      </w:pPr>
      <w:r>
        <w:rPr>
          <w:b/>
          <w:bCs/>
        </w:rPr>
        <w:t xml:space="preserve">Fig. 3</w:t>
      </w:r>
      <w:r>
        <w:t xml:space="preserve"> </w:t>
      </w:r>
      <w:r>
        <w:t xml:space="preserve">compares the stress–strain behavior of the LLM- and benchmark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benchmark alloy:</w:t>
      </w:r>
      <w:r>
        <w:t xml:space="preserve"> </w:t>
      </w:r>
      <w:r>
        <w:rPr>
          <w:b/>
          <w:bCs/>
        </w:rPr>
        <w:t xml:space="preserve">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benchmark alloy — the stress-induced martensite was stable enough to survive unloading but transformed back to austenite upon heating. By contrast,</w:t>
      </w:r>
      <w:r>
        <w:t xml:space="preserve"> </w:t>
      </w:r>
      <w:r>
        <w:rPr>
          <w:b/>
          <w:bCs/>
        </w:rPr>
        <w:t xml:space="preserve">Fig. 3a</w:t>
      </w:r>
      <w:r>
        <w:t xml:space="preserve"> </w:t>
      </w:r>
      <w:r>
        <w:t xml:space="preserve">shows no strain recovery of the LLM-alloy during this test. The test is reported for one condition of the LLM-alloy, 1200 °C for 1 minute — the same anneal as the benchmark panel — and what it establishes is confined to that state, the γ-majority γ + α duplex quantified in Sec. 3.3: no stress-induced martensite stable enough to survive unloading was present to revert on heating. The unloading evidence is broader, since in each of the eight conditions of</w:t>
      </w:r>
      <w:r>
        <w:t xml:space="preserve"> </w:t>
      </w:r>
      <w:r>
        <w:rPr>
          <w:b/>
          <w:bCs/>
        </w:rPr>
        <w:t xml:space="preserve">Fig. 2</w:t>
      </w:r>
      <w:r>
        <w:t xml:space="preserve"> </w:t>
      </w:r>
      <w:r>
        <w:t xml:space="preserve">the unloading segment returns no strain beyond the elastic σ/E. Within the conditions reported here, then, the LLM-alloy deforms plastically with no pseudo-elastic contribution visible in its unloading records, shows no shape-memory recovery in the one state given the heating test, and stress-induced phase transformation is not among its active deformation mechanisms as processed here.</w:t>
      </w:r>
    </w:p>
    <w:p>
      <w:pPr>
        <w:pStyle w:val="BodyText"/>
      </w:pPr>
      <w:r>
        <w:t xml:space="preserve">The claim made here is the narrow one it should be:</w:t>
      </w:r>
      <w:r>
        <w:t xml:space="preserve"> </w:t>
      </w:r>
      <w:r>
        <w:rPr>
          <w:b/>
          <w:bCs/>
        </w:rPr>
        <w:t xml:space="preserve">no detectable transformation in the LLM-alloy under a route that produced measurable transformation in the benchmark.</w:t>
      </w:r>
      <w:r>
        <w:t xml:space="preserve"> </w:t>
      </w:r>
      <w:r>
        <w:t xml:space="preserve">Separately, the LLM-alloy was also given the 200 °C/3 h age reported to develop pseudo-elasticity in this family (</w:t>
      </w:r>
      <w:r>
        <w:rPr>
          <w:b/>
          <w:bCs/>
        </w:rPr>
        <w:t xml:space="preserve">Fig. 2h</w:t>
      </w:r>
      <w:r>
        <w:t xml:space="preserve">), which the benchmark of</w:t>
      </w:r>
      <w:r>
        <w:t xml:space="preserve"> </w:t>
      </w:r>
      <w:r>
        <w:rPr>
          <w:b/>
          <w:bCs/>
        </w:rPr>
        <w:t xml:space="preserve">Fig. 3b</w:t>
      </w:r>
      <w:r>
        <w:t xml:space="preserve"> </w:t>
      </w:r>
      <w:r>
        <w:t xml:space="preserve">did not receive, and still showed no recovery on unloading.</w:t>
      </w:r>
    </w:p>
    <w:bookmarkEnd w:id="19"/>
    <w:bookmarkStart w:id="20" w:name="X7b0047580ff68e3c8823c4535b0eba55ad6dd86"/>
    <w:p>
      <w:pPr>
        <w:pStyle w:val="Heading2"/>
      </w:pPr>
      <w:r>
        <w:t xml:space="preserve">3.3 Synchrotron diffraction and phase identification</w:t>
      </w:r>
    </w:p>
    <w:p>
      <w:pPr>
        <w:pStyle w:val="FirstParagraph"/>
      </w:pPr>
      <w:r>
        <w:t xml:space="preserve">Synchrotron XRD of samples before and after deformation is shown in</w:t>
      </w:r>
      <w:r>
        <w:t xml:space="preserve"> </w:t>
      </w:r>
      <w:r>
        <w:rPr>
          <w:b/>
          <w:bCs/>
        </w:rPr>
        <w:t xml:space="preserve">Fig. 4</w:t>
      </w:r>
      <w:r>
        <w:t xml:space="preserve">.</w:t>
      </w:r>
      <w:r>
        <w:t xml:space="preserve"> </w:t>
      </w:r>
      <w:r>
        <w:rPr>
          <w:b/>
          <w:bCs/>
        </w:rPr>
        <w:t xml:space="preserve">Fig. 5</w:t>
      </w:r>
      <w:r>
        <w:t xml:space="preserve"> </w:t>
      </w:r>
      <w:r>
        <w:t xml:space="preserve">shows good overall agreement between the experimental data (lower half of each panel) and the results of Rietveld refinement (upper half), both before deformation (</w:t>
      </w:r>
      <w:r>
        <w:rPr>
          <w:b/>
          <w:bCs/>
        </w:rPr>
        <w:t xml:space="preserve">Fig. 5a</w:t>
      </w:r>
      <w:r>
        <w:t xml:space="preserve">) and after unloading from 10% strain (</w:t>
      </w:r>
      <w:r>
        <w:rPr>
          <w:b/>
          <w:bCs/>
        </w:rPr>
        <w:t xml:space="preserve">Fig. 5b</w:t>
      </w:r>
      <w:r>
        <w:t xml:space="preserve">).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the refinement of the undeformed pattern (</w:t>
      </w:r>
      <w:r>
        <w:rPr>
          <w:b/>
          <w:bCs/>
        </w:rPr>
        <w:t xml:space="preserve">Fig. 5a</w:t>
      </w:r>
      <w:r>
        <w:t xml:space="preserve">), the LLM-alloy is estimated to consist of ≈62% FCC γ-phase, ≈34% BCC α-phase, and ≈4% D0₃ Fe₃Al phase by volume (the calculated fractions of Sec. 3.4 are molar); these estimates carry the grain-statistics limitation just described, and no uncertainty is attached to them. In the refinement of the deformed pattern (</w:t>
      </w:r>
      <w:r>
        <w:rPr>
          <w:b/>
          <w:bCs/>
        </w:rPr>
        <w:t xml:space="preserve">Fig. 5b</w:t>
      </w:r>
      <w:r>
        <w:t xml:space="preserve">) the phase fractions were held fixed rather than refined, so no fraction is quoted for that specimen. Its diffraction patterns before and after deformation are essentially the same (</w:t>
      </w:r>
      <w:r>
        <w:rPr>
          <w:b/>
          <w:bCs/>
        </w:rPr>
        <w:t xml:space="preserve">Fig. 4a, b</w:t>
      </w:r>
      <w:r>
        <w:t xml:space="preserve">), and relative peak intensities (</w:t>
      </w:r>
      <w:r>
        <w:rPr>
          <w:b/>
          <w:bCs/>
        </w:rPr>
        <w:t xml:space="preserve">Fig. 6a</w:t>
      </w:r>
      <w:r>
        <w:t xml:space="preserve">) are essentially unchanged: no new diffraction peaks appear and none disappear. An ex-situ measurement made after unloading cannot, on its own, exclude a fully reversible transformation that reverts as the load is removed. The diffraction data are not what carry this conclusion, however, and the order of the evidence should be stated plainly. A transformation reversible enough to leave no diffraction signature after unloading would still have had to produce recoverable strain</w:t>
      </w:r>
      <w:r>
        <w:t xml:space="preserve"> </w:t>
      </w:r>
      <w:r>
        <w:rPr>
          <w:i/>
          <w:iCs/>
        </w:rPr>
        <w:t xml:space="preserve">during</w:t>
      </w:r>
      <w:r>
        <w:t xml:space="preserve"> </w:t>
      </w:r>
      <w:r>
        <w:t xml:space="preserve">that unloading, and the unloading segments of</w:t>
      </w:r>
      <w:r>
        <w:t xml:space="preserve"> </w:t>
      </w:r>
      <w:r>
        <w:rPr>
          <w:b/>
          <w:bCs/>
        </w:rPr>
        <w:t xml:space="preserve">Fig. 2</w:t>
      </w:r>
      <w:r>
        <w:t xml:space="preserve"> </w:t>
      </w:r>
      <w:r>
        <w:t xml:space="preserve">are straight, parallel to the elastic line, and return no strain beyond σ/E in any of the eight conditions shown there (1-minute anneals at 600, 700, 800, 900, 1000, 1100 and 1200 °C, and 1200 °C followed by the 200 °C/3 h age). The loading–unloading–heating test of</w:t>
      </w:r>
      <w:r>
        <w:t xml:space="preserve"> </w:t>
      </w:r>
      <w:r>
        <w:rPr>
          <w:b/>
          <w:bCs/>
        </w:rPr>
        <w:t xml:space="preserve">Fig. 3a</w:t>
      </w:r>
      <w:r>
        <w:t xml:space="preserve"> </w:t>
      </w:r>
      <w:r>
        <w:t xml:space="preserve">closes the remaining route by which a transformation could hide in the 1200 °C/1 min state — the one condition for which that test is reported — since any retained martensite stable enough to survive unloading would revert on heating and show up as strain recovery, as it does for the benchmark in</w:t>
      </w:r>
      <w:r>
        <w:t xml:space="preserve"> </w:t>
      </w:r>
      <w:r>
        <w:rPr>
          <w:b/>
          <w:bCs/>
        </w:rPr>
        <w:t xml:space="preserve">Fig. 3b</w:t>
      </w:r>
      <w:r>
        <w:t xml:space="preserve">.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 consistently to deformation by dislocation slip rather than stress-induced phase transformation. The shift from sharp, discrete spotty patterns in the undeformed state (</w:t>
      </w:r>
      <w:r>
        <w:rPr>
          <w:b/>
          <w:bCs/>
        </w:rPr>
        <w:t xml:space="preserve">Fig. 4a</w:t>
      </w:r>
      <w:r>
        <w:t xml:space="preserve">) to broader, partially arced rings after deformation (</w:t>
      </w:r>
      <w:r>
        <w:rPr>
          <w:b/>
          <w:bCs/>
        </w:rPr>
        <w:t xml:space="preserve">Fig. 4b</w:t>
      </w:r>
      <w:r>
        <w:t xml:space="preserve">) can be attributed to dislocation activity, which results in peak broadening and/or the formation of tiny sub-grains. In comparison, the benchmark alloy presents a BCC α-dominated pattern with FCC γ-phase and ordered β-NiAl (B2) precipitate diffractions in the undeformed state (</w:t>
      </w:r>
      <w:r>
        <w:rPr>
          <w:b/>
          <w:bCs/>
        </w:rPr>
        <w:t xml:space="preserve">Fig. 4c</w:t>
      </w:r>
      <w:r>
        <w:t xml:space="preserve">); after 8% applied strain, the {111}γ reflection intensifies and the overlapping {200}α redistributes in intensity (</w:t>
      </w:r>
      <w:r>
        <w:rPr>
          <w:b/>
          <w:bCs/>
        </w:rPr>
        <w:t xml:space="preserve">Fig. 4d</w:t>
      </w:r>
      <w:r>
        <w:t xml:space="preserve">), consistent with stress-induced γ formation and partial variant activation. The change in peak intensity after deformation of the benchmark alloy is also clearly shown in</w:t>
      </w:r>
      <w:r>
        <w:t xml:space="preserve"> </w:t>
      </w:r>
      <w:r>
        <w:rPr>
          <w:b/>
          <w:bCs/>
        </w:rPr>
        <w:t xml:space="preserve">Fig. 6b</w:t>
      </w:r>
      <w:r>
        <w:t xml:space="preserve">.</w:t>
      </w:r>
    </w:p>
    <w:p>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w:t>
      </w:r>
      <w:r>
        <w:t xml:space="preserve"> </w:t>
      </w:r>
      <w:r>
        <w:rPr>
          <w:i/>
          <w:iCs/>
        </w:rPr>
        <w:t xml:space="preserve">product</w:t>
      </w:r>
      <w:r>
        <w:t xml:space="preserve">,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in the annealed LLM-alloy is present before loading and is therefore not stress-induced; whether it formed at temperature or on the quench is taken up in Sec. 4.1.</w:t>
      </w:r>
    </w:p>
    <w:p>
      <w:pPr>
        <w:pStyle w:val="BodyText"/>
      </w:pPr>
      <w:r>
        <w:t xml:space="preserve">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the LLM-alloy at 0.49–1.02% of maximum with a signal-to-noise ratio of 16–27 across four patterns (the 1200 °C/1 min wire before and after deformation, and two frames of the cyclically treated rod discussed below), and absent from the benchmark (0.19–0.28%, S/N 2.3–2.9). The benchmark thus carries the B2-allowed reflection without the D0₃-only one, and the LLM-alloy carries both at comparable strength — the signatures of B2 and D0₃ respectively. The B2-allowed intensity in the LLM-alloy is therefore at most about 0.3 of the benchmark’s — a bound on intensity rather than on abundance, since superlattice intensity also scales with the degree of order — and any B2 may be absent altogether. This bounds the claim without over-reaching it: a coherent dispersion finer or more dilute than this limit cannot be excluded by diffraction alone, and transmission electron microscopy or atom-probe tomography would be required to do so.</w:t>
      </w:r>
    </w:p>
    <w:p>
      <w:pPr>
        <w:pStyle w:val="BodyText"/>
      </w:pPr>
      <w:r>
        <w:t xml:space="preserve">The two alloys are not equally amenable to quantitative diffraction analysis, and the reason is itself microstructural. After the identical 1200 °C anneal the LLM-alloy retains a fine equiaxed structure with grain diameters well under 20 µm (</w:t>
      </w:r>
      <w:r>
        <w:rPr>
          <w:b/>
          <w:bCs/>
        </w:rPr>
        <w:t xml:space="preserve">Fig. 1a</w:t>
      </w:r>
      <w:r>
        <w:t xml:space="preserve">), so that enough grains are illuminated for a quantitative, if grain-statistics-limited, refinement. The benchmark alloy instead undergoes pronounced grain growth at this temperature: its Debye–Scherrer rings break up into a small number of discrete, intense spots rather than continuous rings (</w:t>
      </w:r>
      <w:r>
        <w:rPr>
          <w:b/>
          <w:bCs/>
        </w:rPr>
        <w:t xml:space="preserve">Fig. 4c, d</w:t>
      </w:r>
      <w:r>
        <w:t xml:space="preserve">),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pPr>
        <w:pStyle w:val="BodyText"/>
      </w:pPr>
      <w:r>
        <w:t xml:space="preserve">This restriction does not affect the comparison on which the present work rests. That the benchmark alloy undergoes a stress-induced transformation is not in question: the diffracted intensities change markedly with deformation (</w:t>
      </w:r>
      <w:r>
        <w:rPr>
          <w:b/>
          <w:bCs/>
        </w:rPr>
        <w:t xml:space="preserve">Fig. 6b</w:t>
      </w:r>
      <w:r>
        <w:t xml:space="preserve">), the alloy recovers strain on heating (</w:t>
      </w:r>
      <w:r>
        <w:rPr>
          <w:b/>
          <w:bCs/>
        </w:rPr>
        <w:t xml:space="preserve">Fig. 3b</w:t>
      </w:r>
      <w:r>
        <w:t xml:space="preserve">), and the transformation behavior of this composition is well established in the literature</w:t>
      </w:r>
      <w:r>
        <w:t xml:space="preserve"> </w:t>
      </w:r>
      <w:r>
        <w:t xml:space="preserve">(Ref 12–14)</w:t>
      </w:r>
      <w:r>
        <w:t xml:space="preserve">.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 xml:space="preserve">Fig. 6a</w:t>
      </w:r>
      <w:r>
        <w:t xml:space="preserve">) and is instead dominated by the γ phase.</w:t>
      </w:r>
    </w:p>
    <w:p>
      <w:pPr>
        <w:pStyle w:val="BodyText"/>
      </w:pPr>
      <w:r>
        <w:t xml:space="preserve">The refinement also quantifies the crystallographic texture that Sec. 2.5 anticipated. The LLM-alloy developed strong fiber textures during wire drawing: the inverse pole figures extracted from the E-WIMV orientation distribution (</w:t>
      </w:r>
      <w:r>
        <w:rPr>
          <w:b/>
          <w:bCs/>
        </w:rPr>
        <w:t xml:space="preserve">Fig. 7</w:t>
      </w:r>
      <w:r>
        <w:t xml:space="preserve">) show pronounced {111} and {100} fiber components in the γ phase and a strong {110} fiber component in the α phase, the components characteristic of cold-drawn FCC and BCC metals respectively</w:t>
      </w:r>
      <w:r>
        <w:t xml:space="preserve"> </w:t>
      </w:r>
      <w:r>
        <w:t xml:space="preserve">(Ref 34)</w:t>
      </w:r>
      <w:r>
        <w:t xml:space="preserve">. These textures are the reason the azimuthal dimension was retained in the refinement (Sec. 2.5).</w:t>
      </w:r>
    </w:p>
    <w:p>
      <w:pPr>
        <w:pStyle w:val="BodyText"/>
      </w:pPr>
      <w:r>
        <w:t xml:space="preserve">It is worth noting that the ≈1 mm LLM-alloy rod after the three-cycle abnormal-grain-growth schedule of Sec. 2.2 showed an X-ray diffraction pattern (</w:t>
      </w:r>
      <w:r>
        <w:rPr>
          <w:b/>
          <w:bCs/>
        </w:rPr>
        <w:t xml:space="preserve">Fig. 8</w:t>
      </w:r>
      <w:r>
        <w:t xml:space="preserve">) containing the same phases as</w:t>
      </w:r>
      <w:r>
        <w:t xml:space="preserve"> </w:t>
      </w:r>
      <w:r>
        <w:rPr>
          <w:b/>
          <w:bCs/>
        </w:rPr>
        <w:t xml:space="preserve">Fig. 4a</w:t>
      </w:r>
      <w:r>
        <w:t xml:space="preserve">, but with the intensity along the Debye rings resolved into markedly more discrete spots. Two things follow, and they are separate. The phase constitution is unaffected by the treatment: the same γ, α and D0₃ are present after the cyclic treatment as after the single anneal, which is what a duplex equilibrium at 1200 °C (Sec. 3.4) leads one to expect, although phase fractions were not refined from this pattern and it therefore cannot say whether the γ excess over the calculated equilibrium noted in Sec. 4.1 is also unchanged; and the spottier rings place fewer, larger crystallites in the diffracting volume, so the grains of the rod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 xml:space="preserve">Fig. 7</w:t>
      </w:r>
      <w:r>
        <w:t xml:space="preserve"> </w:t>
      </w:r>
      <w:r>
        <w:t xml:space="preserve">remain evident in the intensity distribution of</w:t>
      </w:r>
      <w:r>
        <w:t xml:space="preserve"> </w:t>
      </w:r>
      <w:r>
        <w:rPr>
          <w:b/>
          <w:bCs/>
        </w:rPr>
        <w:t xml:space="preserve">Fig. 8</w:t>
      </w:r>
      <w:r>
        <w:t xml:space="preserve">.</w:t>
      </w:r>
    </w:p>
    <w:bookmarkEnd w:id="20"/>
    <w:bookmarkStart w:id="21" w:name="equilibrium-phase-stability"/>
    <w:p>
      <w:pPr>
        <w:pStyle w:val="Heading2"/>
      </w:pPr>
      <w:r>
        <w:t xml:space="preserve">3.4 Equilibrium phase stability</w:t>
      </w:r>
    </w:p>
    <w:p>
      <w:pPr>
        <w:pStyle w:val="FirstParagraph"/>
      </w:pPr>
      <w:r>
        <w:rPr>
          <w:b/>
          <w:bCs/>
        </w:rPr>
        <w:t xml:space="preserve">Fig. 9</w:t>
      </w:r>
      <w:r>
        <w:t xml:space="preserve"> </w:t>
      </w:r>
      <w:r>
        <w:t xml:space="preserve">shows the calculated equilibrium step diagrams for the two alloys as analyzed, using the measured chemistries of</w:t>
      </w:r>
      <w:r>
        <w:t xml:space="preserve"> </w:t>
      </w:r>
      <w:r>
        <w:rPr>
          <w:b/>
          <w:bCs/>
        </w:rPr>
        <w:t xml:space="preserve">Table 1</w:t>
      </w:r>
      <w:r>
        <w:t xml:space="preserve">. The virtual carbon-free composition described in Sec. 2.6 was evaluated on the same basis and is plotted beside them in</w:t>
      </w:r>
      <w:r>
        <w:t xml:space="preserve"> </w:t>
      </w:r>
      <w:r>
        <w:rPr>
          <w:b/>
          <w:bCs/>
        </w:rPr>
        <w:t xml:space="preserve">Fig. 9c</w:t>
      </w:r>
      <w:r>
        <w:t xml:space="preserve">; because all three databases agree on it, it is also reported numerically in</w:t>
      </w:r>
      <w:r>
        <w:t xml:space="preserve"> </w:t>
      </w:r>
      <w:r>
        <w:rPr>
          <w:b/>
          <w:bCs/>
        </w:rPr>
        <w:t xml:space="preserve">Table 3</w:t>
      </w:r>
      <w:r>
        <w:t xml:space="preserve">.</w:t>
      </w:r>
    </w:p>
    <w:p>
      <w:pPr>
        <w:pStyle w:val="BodyText"/>
      </w:pPr>
      <w:r>
        <w:t xml:space="preserve">The benchmark alloy (</w:t>
      </w:r>
      <w:r>
        <w:rPr>
          <w:b/>
          <w:bCs/>
        </w:rPr>
        <w:t xml:space="preserve">Fig. 9a</w:t>
      </w:r>
      <w:r>
        <w:t xml:space="preserve">) reproduces the phase sequence its processing route assumes. A single-phase disordered bcc α field opens at ≈1140 °C and extends to the onset of melting at ≈1325 °C, so the 1200 °C solution treatment of Sec. 2.2 lies inside it, ≈60 °C above its lower edge and ≈120 °C below its upper one (</w:t>
      </w:r>
      <w:r>
        <w:rPr>
          <w:b/>
          <w:bCs/>
        </w:rPr>
        <w:t xml:space="preserve">Table 4</w:t>
      </w:r>
      <w:r>
        <w:t xml:space="preserve">). On cooling below ≈1090 °C the bcc orders: between ≈700 and 1000 °C the calculated bcc is fully B2-ordered and accounts for 19–21% of the alloy, the balance being γ. The equilibrium state below ≈1090 °C is thus B2 + γ, and not the coherent B2-in-α nanostructure on which the benchmark’s super-elasticity actually rests; that nanostructure is a kinetically arrested approach to this equilibrium, obtained by quenching the single-phase α and aging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here; the calculation is a control: it reproduces the single-phase α solution treatment and the B2 ordering reported for this composition</w:t>
      </w:r>
      <w:r>
        <w:t xml:space="preserve"> </w:t>
      </w:r>
      <w:r>
        <w:t xml:space="preserve">(Ref 18,35)</w:t>
      </w:r>
      <w:r>
        <w:t xml:space="preserve">, and</w:t>
      </w:r>
      <w:r>
        <w:t xml:space="preserve"> </w:t>
      </w:r>
      <w:r>
        <w:rPr>
          <w:b/>
          <w:bCs/>
        </w:rPr>
        <w:t xml:space="preserve">Fig. 4c</w:t>
      </w:r>
      <w:r>
        <w:t xml:space="preserve"> </w:t>
      </w:r>
      <w:r>
        <w:t xml:space="preserve">shows B2 reflections, together with some γ, after the quench, although the benchmark’s phase fractions could not be refined (Sec. 3.3).</w:t>
      </w:r>
    </w:p>
    <w:p>
      <w:pPr>
        <w:pStyle w:val="BodyText"/>
      </w:pPr>
      <w:r>
        <w:t xml:space="preserve">The LLM-alloy behaves differently in every respect that matters (</w:t>
      </w:r>
      <w:r>
        <w:rPr>
          <w:b/>
          <w:bCs/>
        </w:rPr>
        <w:t xml:space="preserve">Fig. 9b</w:t>
      </w:r>
      <w:r>
        <w:t xml:space="preserve">). At 1200 °C it is not single-phase but a duplex mixture of 71.1% α and 28.9% γ, and raising the temperature never removes the γ before the alloy melts: at 1290 °C it still holds 7.4% γ, and at 1300 °C the first liquid appears with γ gone into it, so that the alloy passes directly from α + γ to α + liquid. There is no temperature at which this composition is single-phase α in the solid state. The other two databases return the same sequence by different numbers: PrecHiMn-04 keeps the alloy two-phase at least to 1250 °C and melts it from ≈1295 °C, and mc_fe — the only database here carrying all six elements plus P — keeps it two-phase to 1230 °C and melts it from ≈1240 °C. The three assessments differ on where melting begins, by ≈60 °C, and agree on what matters here: the single-phase α state that the processing route requires does not exist below this composition’s melting point, quite apart from the 1200 °C ceiling that oxidation and furnace contamination impose in practice (Sec. 2.2). This is a statement about the solid state rather than about the solidus, and it does not rest on any one database’s melting temperature (</w:t>
      </w:r>
      <w:r>
        <w:rPr>
          <w:b/>
          <w:bCs/>
        </w:rPr>
        <w:t xml:space="preserve">Table 4</w:t>
      </w:r>
      <w:r>
        <w:t xml:space="preserve">). Between ≈850 and ≈1050 °C the alloy is calculated to be fully austenitic. Ordered bcc appears only below ≈850 °C, reaches at most ≈11% near 410 °C, the lowest converged temperature, and forms within a γ matrix rather than an α one. There is thus no temperature at which this composition can be solution-treated to single-phase α and subsequently aged into coherent ordered precipitates within that α — the sequence on which the benchmark relies.</w:t>
      </w:r>
    </w:p>
    <w:p>
      <w:pPr>
        <w:pStyle w:val="BodyText"/>
      </w:pPr>
      <w:r>
        <w:t xml:space="preserve">Removing carbon and holding every other element fixed creates the missing field (</w:t>
      </w:r>
      <w:r>
        <w:rPr>
          <w:b/>
          <w:bCs/>
        </w:rPr>
        <w:t xml:space="preserve">Fig. 9c</w:t>
      </w:r>
      <w:r>
        <w:t xml:space="preserve">), and does so in all three databases. The single-phase α window opens at ≈1150 °C in mpea-02b, ≈1160 °C in PrecHiMn-04 and ≈1130 °C in mc_fe, and in each it extends up to the solidus of the carbon-free composition (≈1375, ≈1295 and ≈1245 °C respectively): a window between ≈110 and ≈220 °C wide where the carbon-bearing alloy has none. The 1200 °C solution treatment therefore lands inside the single-phase field once carbon is removed, and the alloy reaches 100% α exactly as the benchmark does, in all three databases and despite their covering different element sets (</w:t>
      </w:r>
      <w:r>
        <w:rPr>
          <w:b/>
          <w:bCs/>
        </w:rPr>
        <w:t xml:space="preserve">Tables 3 and 4</w:t>
      </w:r>
      <w:r>
        <w:t xml:space="preserve">).</w:t>
      </w:r>
    </w:p>
    <w:p>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w:t>
      </w:r>
      <w:r>
        <w:t xml:space="preserve"> </w:t>
      </w:r>
      <w:r>
        <w:rPr>
          <w:b/>
          <w:bCs/>
        </w:rPr>
        <w:t xml:space="preserve">With carbon at its measured 0.45 at%, no single-phase α field exists in the solid state at any nickel content from 4.2 to 7.8 at%: the alloy is still α + γ when melting begins, at ≈1300 °C, at every point in the scan.</w:t>
      </w:r>
      <w:r>
        <w:t xml:space="preserve"> </w:t>
      </w:r>
      <w:r>
        <w:t xml:space="preserve">With carbon removed, the field opens between 1150 and 1190 °C over the same nickel range, 160–230 °C below the solidus, and the alloy is 100% α at 1200 °C at every point in it. Carbon decides whether the field exists at all; nickel moves the carbon-free solvus by ≈40 °C in mpea-02b, in a direction that is database-dependent (below), and creates no field where carbon has removed one.</w:t>
      </w:r>
    </w:p>
    <w:p>
      <w:pPr>
        <w:pStyle w:val="BodyText"/>
      </w:pPr>
      <w:r>
        <w:t xml:space="preserve">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well below the corresponding solidus (≈1245 and ≈1270 °C), and 1200 °C again lies inside a fully single-phase α field. The two databases do differ on two secondary points, and they are reported rather than reconciled: added nickel raises the carbon-free solvus in mpea-02b (≈1150 → 1190 °C) but lowers it in mc_fe (≈1130 → 1070 °C), and at 1200 °C with carbon present it makes the alloy slightly more austenitic in mpea-02b (bcc 71.1 → 59.6%) and slightly more ferritic in mc_fe (bcc 61.9 → 75.8%). The defensible statement is therefore that nickel does not open the solution-treatment window, not that it measurably closes it further.</w:t>
      </w:r>
    </w:p>
    <w:p>
      <w:pPr>
        <w:pStyle w:val="BodyText"/>
      </w:pPr>
      <w:r>
        <w:t xml:space="preserve">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Three of the 1280 points in the mpea-02b scan failed to converge, all at 400–425 °C in the carbon-bearing series at 4.6 and 5.0 at% Ni; they are reported as gaps rather than as zeros. At the measured nickel content the scan reproduces the ordering curve of</w:t>
      </w:r>
      <w:r>
        <w:t xml:space="preserve"> </w:t>
      </w:r>
      <w:r>
        <w:rPr>
          <w:b/>
          <w:bCs/>
        </w:rPr>
        <w:t xml:space="preserve">Fig. 9b</w:t>
      </w:r>
      <w:r>
        <w:t xml:space="preserve">, which is the internal check that it is consistent with the primary calculation.</w:t>
      </w:r>
    </w:p>
    <w:p>
      <w:pPr>
        <w:pStyle w:val="BodyText"/>
      </w:pPr>
      <w:r>
        <w:t xml:space="preserve">A third question follows from Sec. 2.1. Because the composition melted lies outside the aluminum and manganese range of the hypothesis it was drawn from, the experiment cannot show how a composition inside that range would behave, since none was melted; what the calculation can ask is whether such a composition could reach the parent state the route requires. Carbon-bearing compositions inside the proposed window — its midpoint and the two corners that bracket it in ferrite-forming tendency, three points in a six-element range — were evaluated on the same basis in the same database, and</w:t>
      </w:r>
      <w:r>
        <w:t xml:space="preserve"> </w:t>
      </w:r>
      <w:r>
        <w:rPr>
          <w:b/>
          <w:bCs/>
        </w:rPr>
        <w:t xml:space="preserve">on this calculation none of them can be solution-treated to disordered single-phase α</w:t>
      </w:r>
      <w:r>
        <w:t xml:space="preserve">. At the window’s midpoint, Fe-25Mn-10Al-4.5Ni-2.5Si-0.2C (wt%), the alloy is 86.7% α + 13.3% γ at 1200 °C and, like the alloy actually melted, is still two-phase when melting begins at ≈1290 °C — taking the middle of the range takes the middle of its carbon range along with it. At the corner most favorable to ferrite, Mn 20, Al 12, Ni 6, C 0.1 wt%, which is the extreme of what the window permits, a single-phase bcc field does open, at ≈1240 °C, 40 °C above the annealing ceiling; and the bcc there is calculated to be ordered B2 rather than disordered α, so even that corner does not deliver the disordered parent the route requires. At the opposite corner the alloy is 64.0% α + 36.0% γ at 1200 °C and no single-phase field exists below its solidus (≈1320 °C) at all. Stepping aluminum alone from the nominal composition’s 6.4 wt% to the window’s 12 wt% ceiling, holding every other element at its nominal value (</w:t>
      </w:r>
      <w:r>
        <w:rPr>
          <w:b/>
          <w:bCs/>
        </w:rPr>
        <w:t xml:space="preserve">Table 1</w:t>
      </w:r>
      <w:r>
        <w:t xml:space="preserve">), raises the α fraction at 1200 °C from 76.0 to 97.3% — the nominal composition itself, like the measured one, having no single-phase α field in the solid state — but removes the last γ before melting at only one step, 11.3 wt% Al, where a single-phase field appears at ≈1270 °C, one 10 °C step below the solidus and 70 °C above the annealing ceiling; at every other step γ persists until melting begins (≈1270–1300 °C). In mpea-02b, which omits Si, the aluminum deviation therefore moves the alloy in the direction observed but does not open the processing window, whereas removing carbon returns 100% bcc at 1200 °C at every window point and every step of the aluminum scan (ordered B2 at the ferritic corner). Carbon was permitted by the hypothesis, at 0.1–0.3 wt% as the alternative to boron, with the melt taking the carbon option at its minimum; the window points evaluated at 0.2 and 0.3 wt% carbon have no single-phase α field in the solid state either. A2’s boron option, which carries no carbon, was not evaluated: of the three databases only mc_fe carries boron. As elsewhere in this section, mpea-02b carries no silicon, which was omitted and the remainder renormalized (Sec. 2.6); that approximation is weakest at the ferritic corner, where silicon reaches 6.8 at%. The three window compositions and the nominal composition were therefore re-run in mc_fe, which carries all six elements. It does not return single-phase α at 1200 °C for any of them either, but it disagrees with mpea-02b on their constitution: it places three of them partly molten at that temperature and the fourth fully austenitic, where mpea-02b has all four solid and two-phase. The two databases differ on the solidus of these silicon-rich compositions by up to 300 °C — mc_fe’s liquid onset tracks silicon, falling from ≈1240 °C at the measured 1.1 wt% to ≈1020 °C at 4 wt% — and that difference is reported rather than reconciled; for the measured composition itself they agree to within ≈60 °C. Nor does mc_fe make carbon the controlling element inside the window: with carbon removed it still places the nominal composition, the midpoint and the ferritic corner partly molten at 1200 °C (17.0, 27.1 and 53.5% liquid), and only the austenitic corner becomes single-phase bcc there, so the attribution of the closed window to carbon for these compositions rests on mpea-02b alone. What the two databases share is an outcome rather than a constitution: none of the carbon-bearing window compositions sampled can be solution-treated to single-phase α at 1200 °C in either database.</w:t>
      </w:r>
    </w:p>
    <w:p>
      <w:pPr>
        <w:pStyle w:val="BodyText"/>
      </w:pPr>
      <w:r>
        <w:t xml:space="preserve">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indicating that at ≈12 at% Al this composition lies below the equilibrium Fe₃Al D0₃ field.</w:t>
      </w:r>
    </w:p>
    <w:bookmarkEnd w:id="21"/>
    <w:bookmarkStart w:id="22" w:name="X4ada6c9d0384107904218473ce93cb9a6ae877c"/>
    <w:p>
      <w:pPr>
        <w:pStyle w:val="Heading2"/>
      </w:pPr>
      <w:r>
        <w:t xml:space="preserve">3.5 Response to the abnormal-grain-growth treatment</w:t>
      </w:r>
    </w:p>
    <w:p>
      <w:pPr>
        <w:pStyle w:val="FirstParagraph"/>
      </w:pPr>
      <w:r>
        <w:t xml:space="preserve">The bamboo grain structure on which the benchmark’s strain recovery depends is produced by cyclic treatments of the kind described in Sec. 2.2, and both alloys were given such treatments on the schedules stated there: the LLM-alloy as ≈1–1.3 mm rod on the two- and three-cycle 1200 ↔ 900 °C schedules, and as 0.36 mm wire — together with the 0.64 mm benchmark wire — on the quartz-tube 1200 °C cycle. The cyclic treatments and the tests on the treated material were completed before the equilibrium calculations of Sec. 3.4 were made, so the treatment was chosen without knowledge that no single-phase α state was reachable in this alloy; that is a result of this study, not a premise of its design. It was applied because the comparison required the LLM-alloy to see the benchmark’s full route, of which this treatment is the grain-structure step. Bamboo was not a requirement of the hypothesis (Sec. 1), which held that it would be unnecessary; with an α parent assumed, the treatment was expected to behave in this alloy as in the benchmark, so it was applied to see whether the alloy would develop bamboo under the benchmark’s route, and what it did instead. The outcome is the second, and independent, place at which the two alloys separate — and, as this section will show, the place where the benchmark’s route turns out, on the specimens tested, to be one the LLM-alloy could not use even if it were available.</w:t>
      </w:r>
    </w:p>
    <w:p>
      <w:pPr>
        <w:pStyle w:val="BodyText"/>
      </w:pPr>
      <w:r>
        <w:t xml:space="preserve">The benchmark responds as the literature reports</w:t>
      </w:r>
      <w:r>
        <w:t xml:space="preserve"> </w:t>
      </w:r>
      <w:r>
        <w:t xml:space="preserve">(Ref 12,18)</w:t>
      </w:r>
      <w:r>
        <w:t xml:space="preserve">. After cyclic treatment (Sec. 2.2) its 0.64 mm wire is bamboo throughout in optical metallography (not shown): individual grains occupy the full width of the section, and their boundaries run across the wire rather than along it, so that a tensile axis intersects few boundaries and each grain can accommodate a transformation shape strain with little constraint from its neighbors.</w:t>
      </w:r>
    </w:p>
    <w:p>
      <w:pPr>
        <w:pStyle w:val="BodyText"/>
      </w:pPr>
      <w:r>
        <w:t xml:space="preserve">The LLM-alloy does not respond in the same way. After cyclic treatment (Sec. 2.2) its 0.36 mm wire (</w:t>
      </w:r>
      <w:r>
        <w:rPr>
          <w:b/>
          <w:bCs/>
        </w:rPr>
        <w:t xml:space="preserve">Fig. 1d</w:t>
      </w:r>
      <w:r>
        <w:t xml:space="preserve">) retains a fine, strongly banded duplex structure across the entire width of the section, and no grain approaches the section width. Bamboo formation did not fall short here — it did not begin. This is a claim about grain</w:t>
      </w:r>
      <w:r>
        <w:t xml:space="preserve"> </w:t>
      </w:r>
      <w:r>
        <w:rPr>
          <w:i/>
          <w:iCs/>
        </w:rPr>
        <w:t xml:space="preserve">shape and span</w:t>
      </w:r>
      <w:r>
        <w:t xml:space="preserve">, not about grain size: the diffraction evidence of Sec. 3.3, from the ≈1 mm rod, shows that the treatment does coarsen this alloy at that section size. Coarsening and bamboo formation are being distinguished deliberately throughout this section, because in the benchmark they arrive together and in the LLM-alloy only the first of them does.</w:t>
      </w:r>
    </w:p>
    <w:p>
      <w:pPr>
        <w:pStyle w:val="BodyText"/>
      </w:pPr>
      <w:r>
        <w:t xml:space="preserve">At larger section size the coarsening is recorded directly. Optical metallography (not shown) of the same alloy given the three-cycle 1200 ↔ 900 °C schedule of Sec. 2.2 as rod stock of ≈1 mm records that coarsening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but arrested, at a continuous band of fine grains presumed, from the duplex constitution, to be two-phase; the band was not phase-identified.</w:t>
      </w:r>
    </w:p>
    <w:p>
      <w:pPr>
        <w:pStyle w:val="BodyText"/>
      </w:pPr>
      <w:r>
        <w:t xml:space="preserve">That is what the equilibrium calculation of Sec. 3.4 predicts, and the two results are worth stating together because neither was fitted to the other. The benchmark is single-phase α at 1200 °C and so has nothing to pin a migrating boundary; the LLM-alloy is calculated to be a two-phase α + γ mixture at that temperature in all three databases (</w:t>
      </w:r>
      <w:r>
        <w:rPr>
          <w:b/>
          <w:bCs/>
        </w:rPr>
        <w:t xml:space="preserve">Table 3</w:t>
      </w:r>
      <w:r>
        <w:t xml:space="preserve">), and the duplex constitution is observed after quenching from the 40-minute anneal (</w:t>
      </w:r>
      <w:r>
        <w:rPr>
          <w:b/>
          <w:bCs/>
        </w:rPr>
        <w:t xml:space="preserve">Fig. 1c</w:t>
      </w:r>
      <w:r>
        <w:t xml:space="preserve">) and from the cyclic treatment (</w:t>
      </w:r>
      <w:r>
        <w:rPr>
          <w:b/>
          <w:bCs/>
        </w:rPr>
        <w:t xml:space="preserve">Fig. 8</w:t>
      </w:r>
      <w:r>
        <w:t xml:space="preserve">, Sec. 3.3). A boundary migrating through it must drag or bypass a second phase that additional time at temperature will not remove, since the calculation places γ at 29–38% of the alloy in equilibrium at 1200 °C whatever its measured fraction after the quench (Sec. 4.1). The cyclic treatment works in the benchmark because repeated crossing of the γ ↔ α boundary leaves a small number of surviving α grains to grow without competition; in the LLM-alloy, calculated to be α + γ at 1200 °C and to enter single-phase α at no temperature below its melting point (Sec. 3.4), no leg of either cycle places the alloy in a single-phase α field — the 1200 ↔ 900 °C schedule runs between α + γ and the fully-γ field calculated for ≈850–1050 °C — so there is no such condition to exploit.</w:t>
      </w:r>
    </w:p>
    <w:p>
      <w:pPr>
        <w:pStyle w:val="BodyText"/>
      </w:pPr>
      <w:r>
        <w:t xml:space="preserve">Two further mechanisms plausibly reinforce that pinning, and both are consequences of the same duplex constitution. In the rod schedule, repeated cycling between the α + γ field at 1200 °C and the γ field calculated at 900 °C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pinning itself. The quartz-tube wire of</w:t>
      </w:r>
      <w:r>
        <w:t xml:space="preserve"> </w:t>
      </w:r>
      <w:r>
        <w:rPr>
          <w:b/>
          <w:bCs/>
        </w:rPr>
        <w:t xml:space="preserve">Fig. 1d</w:t>
      </w:r>
      <w:r>
        <w:t xml:space="preserve"> </w:t>
      </w:r>
      <w:r>
        <w:t xml:space="preserve">is consistent with the same picture — grain growth during its final 1200 °C hold is markedly suppressed relative to the straight 40-minute anneal of</w:t>
      </w:r>
      <w:r>
        <w:t xml:space="preserve"> </w:t>
      </w:r>
      <w:r>
        <w:rPr>
          <w:b/>
          <w:bCs/>
        </w:rPr>
        <w:t xml:space="preserve">Fig. 1c</w:t>
      </w:r>
      <w:r>
        <w:t xml:space="preserve">, despite the longer accumulated time at temperature — but the cold-zone temperature of that run was not recorded, so it is not known which phase fields its cycles crossed.</w:t>
      </w:r>
    </w:p>
    <w:p>
      <w:pPr>
        <w:pStyle w:val="BodyText"/>
      </w:pPr>
      <w:r>
        <w:t xml:space="preserve">The coarsened conditions tested were brittle, long before bamboo dimensions were approached. Holding the 0.36 mm wire at 1200 °C for 40 minutes instead of 1 minute — the treatment whose microstructure is</w:t>
      </w:r>
      <w:r>
        <w:t xml:space="preserve"> </w:t>
      </w:r>
      <w:r>
        <w:rPr>
          <w:b/>
          <w:bCs/>
        </w:rPr>
        <w:t xml:space="preserve">Fig. 1c</w:t>
      </w:r>
      <w:r>
        <w:t xml:space="preserve">, where grains exceed 100 µm — drops the elongation from 25.5% to 0.8%, with the same 200 °C/3 h age applied to both and on the same 127 mm gauge (one specimen each;</w:t>
      </w:r>
      <w:r>
        <w:t xml:space="preserve"> </w:t>
      </w:r>
      <w:r>
        <w:rPr>
          <w:b/>
          <w:bCs/>
        </w:rPr>
        <w:t xml:space="preserve">Fig. 10a</w:t>
      </w:r>
      <w:r>
        <w:t xml:space="preserve"> </w:t>
      </w:r>
      <w:r>
        <w:t xml:space="preserve">against</w:t>
      </w:r>
      <w:r>
        <w:t xml:space="preserve"> </w:t>
      </w:r>
      <w:r>
        <w:rPr>
          <w:b/>
          <w:bCs/>
        </w:rPr>
        <w:t xml:space="preserve">Fig. 2h</w:t>
      </w:r>
      <w:r>
        <w:t xml:space="preserve">); after 80 minutes at 1200 °C it is 0.5% (</w:t>
      </w:r>
      <w:r>
        <w:rPr>
          <w:b/>
          <w:bCs/>
        </w:rPr>
        <w:t xml:space="preserve">Fig. 10b</w:t>
      </w:r>
      <w:r>
        <w:t xml:space="preserve">). The specimen fractures within its first loading segment, before the first unloading point of the protocol is reached. In these specimens grain size rises with time at 1200 °C, so the record ties the loss of ductility to the prolonged and cyclically treated conditions without isolating coarsening as its cause. Bamboo would require coarsening far beyond this, to grains spanning the full section.</w:t>
      </w:r>
    </w:p>
    <w:p>
      <w:pPr>
        <w:pStyle w:val="BodyText"/>
      </w:pPr>
      <w:r>
        <w:t xml:space="preserve">The cyclically treated rod is mechanically poorer in the same manner, which matters because the coarsened state is the one in which the benchmark is useful.</w:t>
      </w:r>
      <w:r>
        <w:t xml:space="preserve"> </w:t>
      </w:r>
      <w:r>
        <w:rPr>
          <w:b/>
          <w:bCs/>
        </w:rPr>
        <w:t xml:space="preserve">Fig. 10</w:t>
      </w:r>
      <w:r>
        <w:t xml:space="preserve"> </w:t>
      </w:r>
      <w:r>
        <w:t xml:space="preserve">collects every tensile record of the LLM-alloy in the prolonged-anneal and cyclically treated conditions, plotted from the raw load–extension exports with the gauge of each test stated, since the gauges differ (Sec. 2.4). The two two-cycle rod specimens (≈1.3 mm, 127 mm gauge) failed at 568 and 608 MPa after 1.0% elongation, each surviving a single unloading–reloading cycle (</w:t>
      </w:r>
      <w:r>
        <w:rPr>
          <w:b/>
          <w:bCs/>
        </w:rPr>
        <w:t xml:space="preserve">Fig. 10c</w:t>
      </w:r>
      <w:r>
        <w:t xml:space="preserve">) — the 40-minute result again, reached by a different route. Of the two three-cycle-plus-age rod specimens, both recorded at 1.06 mm, the one tested on the 127 mm gauge failed at 478 MPa and 0.5% (</w:t>
      </w:r>
      <w:r>
        <w:rPr>
          <w:b/>
          <w:bCs/>
        </w:rPr>
        <w:t xml:space="preserve">Fig. 10d</w:t>
      </w:r>
      <w:r>
        <w:t xml:space="preserve">), while the one tested on a 6.0 mm gauge reached 1006 MPa and cycled to 11.9% (</w:t>
      </w:r>
      <w:r>
        <w:rPr>
          <w:b/>
          <w:bCs/>
        </w:rPr>
        <w:t xml:space="preserve">Fig. 10e</w:t>
      </w:r>
      <w:r>
        <w:t xml:space="preserve">); on a 6.0 mm gauge that elongation corresponds to about 0.7 mm of crosshead travel, much of it load-train and grip compliance, so the figure is not a demonstration of ductility and is not compared with the 127 mm elongations. Boundary cracking is visible on the specimen surface under stereomicroscope examination (not shown) after the three-cycle treatment followed by the 200 °C/3 h age. No general claim about the strength of the coarsened condition is made on this evidence; what the record supports is that the treatment introduces boundary cracking and large specimen-to-specimen scatter in the rod without producing the grain structure it was applied to produce. The 0.36 mm wire of the quartz-tube cycle — the stock of</w:t>
      </w:r>
      <w:r>
        <w:t xml:space="preserve"> </w:t>
      </w:r>
      <w:r>
        <w:rPr>
          <w:b/>
          <w:bCs/>
        </w:rPr>
        <w:t xml:space="preserve">Fig. 1d</w:t>
      </w:r>
      <w:r>
        <w:t xml:space="preserve">, which did not coarsen — behaves differently: it cycled to 8% and fractured at ≈26% on a 25.4 mm gauge, at 1020 MPa (</w:t>
      </w:r>
      <w:r>
        <w:rPr>
          <w:b/>
          <w:bCs/>
        </w:rPr>
        <w:t xml:space="preserve">Fig. 10f</w:t>
      </w:r>
      <w:r>
        <w:t xml:space="preserve">) — a strain not comparable with those on the 127 mm gauge (Sec. 2.4), but from a specimen that did not fracture early.</w:t>
      </w:r>
    </w:p>
    <w:p>
      <w:pPr>
        <w:pStyle w:val="BodyText"/>
      </w:pPr>
      <w:r>
        <w:t xml:space="preserve">Two things the record does not contain should be stated. No loading–unloading–heating test on a cyclically treated specimen of either alloy is reported here; the two specimens of</w:t>
      </w:r>
      <w:r>
        <w:t xml:space="preserve"> </w:t>
      </w:r>
      <w:r>
        <w:rPr>
          <w:b/>
          <w:bCs/>
        </w:rPr>
        <w:t xml:space="preserve">Fig. 3</w:t>
      </w:r>
      <w:r>
        <w:t xml:space="preserve"> </w:t>
      </w:r>
      <w:r>
        <w:t xml:space="preserve">are the only ones for which that test is reported. The rod specimens fractured at 0.5–1.0% on the 127 mm gauge, below the 3% strain of the heating protocol, and the cyclically treated 0.36 mm wire of</w:t>
      </w:r>
      <w:r>
        <w:t xml:space="preserve"> </w:t>
      </w:r>
      <w:r>
        <w:rPr>
          <w:b/>
          <w:bCs/>
        </w:rPr>
        <w:t xml:space="preserve">Fig. 1d</w:t>
      </w:r>
      <w:r>
        <w:t xml:space="preserve"> </w:t>
      </w:r>
      <w:r>
        <w:t xml:space="preserve">was not given that test. What the cyclic records of</w:t>
      </w:r>
      <w:r>
        <w:t xml:space="preserve"> </w:t>
      </w:r>
      <w:r>
        <w:rPr>
          <w:b/>
          <w:bCs/>
        </w:rPr>
        <w:t xml:space="preserve">Fig. 10</w:t>
      </w:r>
      <w:r>
        <w:t xml:space="preserve"> </w:t>
      </w:r>
      <w:r>
        <w:t xml:space="preserve">do show is the unloading geometry of</w:t>
      </w:r>
      <w:r>
        <w:t xml:space="preserve"> </w:t>
      </w:r>
      <w:r>
        <w:rPr>
          <w:b/>
          <w:bCs/>
        </w:rPr>
        <w:t xml:space="preserve">Fig. 2</w:t>
      </w:r>
      <w:r>
        <w:t xml:space="preserve">: every unloading segment that was recorded — one in each two-cycle rod, eight in the rod tested on the 6.0 mm gauge and eight in the quartz-tube wire — is straight, parallel to the preceding loading line, and returns no strain beyond σ/E. Nor were phase fractions refined for the 40-minute condition of</w:t>
      </w:r>
      <w:r>
        <w:t xml:space="preserve"> </w:t>
      </w:r>
      <w:r>
        <w:rPr>
          <w:b/>
          <w:bCs/>
        </w:rPr>
        <w:t xml:space="preserve">Fig. 1c</w:t>
      </w:r>
      <w:r>
        <w:t xml:space="preserve">, which was examined optically only, or for the cyclically treated rod of</w:t>
      </w:r>
      <w:r>
        <w:t xml:space="preserve"> </w:t>
      </w:r>
      <w:r>
        <w:rPr>
          <w:b/>
          <w:bCs/>
        </w:rPr>
        <w:t xml:space="preserve">Fig. 8</w:t>
      </w:r>
      <w:r>
        <w:t xml:space="preserve"> </w:t>
      </w:r>
      <w:r>
        <w:t xml:space="preserve">(Sec. 3.3); the comparison of phase constitution between</w:t>
      </w:r>
      <w:r>
        <w:t xml:space="preserve"> </w:t>
      </w:r>
      <w:r>
        <w:rPr>
          <w:b/>
          <w:bCs/>
        </w:rPr>
        <w:t xml:space="preserve">Fig. 1a</w:t>
      </w:r>
      <w:r>
        <w:t xml:space="preserve"> </w:t>
      </w:r>
      <w:r>
        <w:t xml:space="preserve">and</w:t>
      </w:r>
      <w:r>
        <w:t xml:space="preserve"> </w:t>
      </w:r>
      <w:r>
        <w:rPr>
          <w:b/>
          <w:bCs/>
        </w:rPr>
        <w:t xml:space="preserve">Fig. 1c</w:t>
      </w:r>
      <w:r>
        <w:t xml:space="preserve"> </w:t>
      </w:r>
      <w:r>
        <w:t xml:space="preserve">is therefore qualitative — both are duplex — and is stated as such.</w:t>
      </w:r>
    </w:p>
    <w:p>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favor on the conventional argument, since bamboo structures form more readily in thinner sections and it is the thinner of the two wires that failed to coarsen at all.</w:t>
      </w:r>
    </w:p>
    <w:p>
      <w:pPr>
        <w:pStyle w:val="BodyText"/>
      </w:pPr>
      <w:r>
        <w:t xml:space="preserve">It should be said plainly that bamboo structure is not a target for this alloy, and the results above are the reason. The treatment was applied because it is the benchmark’s route to super-elasticity and the comparison had to be made; but the wire that reached 100 µm grains fell below 1% elongation (</w:t>
      </w:r>
      <w:r>
        <w:rPr>
          <w:b/>
          <w:bCs/>
        </w:rPr>
        <w:t xml:space="preserve">Fig. 10a</w:t>
      </w:r>
      <w:r>
        <w:t xml:space="preserve">), and nothing in this record suggests that carrying it on to grains of 360 µm would leave a usable wire. The AGG experiment therefore closes a route rather than missing a target. What it returned is the growth of the duplex structure itself — both constituents coarsening together, still interlocked, still pinning each other; the rod metallography records this, and the spottier diffraction pattern of the rod (</w:t>
      </w:r>
      <w:r>
        <w:rPr>
          <w:b/>
          <w:bCs/>
        </w:rPr>
        <w:t xml:space="preserve">Fig. 8</w:t>
      </w:r>
      <w:r>
        <w:t xml:space="preserve">, Sec. 3.3) is consistent with it.</w:t>
      </w:r>
    </w:p>
    <w:p>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w:t>
      </w:r>
      <w:r>
        <w:t xml:space="preserve"> </w:t>
      </w:r>
      <w:r>
        <w:rPr>
          <w:b/>
          <w:bCs/>
        </w:rPr>
        <w:t xml:space="preserve">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w:t>
      </w:r>
      <w:r>
        <w:t xml:space="preserve"> </w:t>
      </w:r>
      <w:r>
        <w:t xml:space="preserve">(Ref 12)</w:t>
      </w:r>
      <w:r>
        <w:t xml:space="preserve">. The tendency is plainly detectable an order of magnitude below the grain structure that optimizes it. In the LLM-alloy no such signal appears in any condition reported here: not on unloading in the seven 1-minute anneals of</w:t>
      </w:r>
      <w:r>
        <w:t xml:space="preserve"> </w:t>
      </w:r>
      <w:r>
        <w:rPr>
          <w:b/>
          <w:bCs/>
        </w:rPr>
        <w:t xml:space="preserve">Fig. 2</w:t>
      </w:r>
      <w:r>
        <w:t xml:space="preserve"> </w:t>
      </w:r>
      <w:r>
        <w:t xml:space="preserve">(600–1200 °C), not with the 200 °C/3 h age reported to develop pseudo-elasticity in this family (</w:t>
      </w:r>
      <w:r>
        <w:rPr>
          <w:b/>
          <w:bCs/>
        </w:rPr>
        <w:t xml:space="preserve">Fig. 2h</w:t>
      </w:r>
      <w:r>
        <w:t xml:space="preserve">), not on heating in the one condition given the loading–unloading–heating test (</w:t>
      </w:r>
      <w:r>
        <w:rPr>
          <w:b/>
          <w:bCs/>
        </w:rPr>
        <w:t xml:space="preserve">Fig. 3a</w:t>
      </w:r>
      <w:r>
        <w:t xml:space="preserve">), and not on unloading in the cyclically treated conditions of</w:t>
      </w:r>
      <w:r>
        <w:t xml:space="preserve"> </w:t>
      </w:r>
      <w:r>
        <w:rPr>
          <w:b/>
          <w:bCs/>
        </w:rPr>
        <w:t xml:space="preserve">Fig. 10</w:t>
      </w:r>
      <w:r>
        <w:t xml:space="preserve">. The cyclically treated condition has not been put through the heating test.</w:t>
      </w:r>
    </w:p>
    <w:p>
      <w:pPr>
        <w:pStyle w:val="BodyText"/>
      </w:pPr>
      <w:r>
        <w:t xml:space="preserve">Nor can grain size be offered as the explanation for that difference, which is worth stating because the two alloys did not reach the same grain size under the common route: at 1200 °C the LLM-alloy holds a structure well under 20 µm (</w:t>
      </w:r>
      <w:r>
        <w:rPr>
          <w:b/>
          <w:bCs/>
        </w:rPr>
        <w:t xml:space="preserve">Fig. 1a</w:t>
      </w:r>
      <w:r>
        <w:t xml:space="preserve">) while the benchmark coarsens pronouncedly (Sec. 3.3). The LLM-alloy, however, shows no transformation at the fine end of its own range (the sub-20 µm condition,</w:t>
      </w:r>
      <w:r>
        <w:t xml:space="preserve"> </w:t>
      </w:r>
      <w:r>
        <w:rPr>
          <w:b/>
          <w:bCs/>
        </w:rPr>
        <w:t xml:space="preserve">Figs. 2g and 3a</w:t>
      </w:r>
      <w:r>
        <w:t xml:space="preserve">) nor in the coarsened rod that survived a loading cycle (</w:t>
      </w:r>
      <w:r>
        <w:rPr>
          <w:b/>
          <w:bCs/>
        </w:rPr>
        <w:t xml:space="preserve">Fig. 10c, e</w:t>
      </w:r>
      <w:r>
        <w:t xml:space="preserve">), and the 40-minute wire that takes it past 100 µm (</w:t>
      </w:r>
      <w:r>
        <w:rPr>
          <w:b/>
          <w:bCs/>
        </w:rPr>
        <w:t xml:space="preserve">Fig. 1c</w:t>
      </w:r>
      <w:r>
        <w:t xml:space="preserve">) fractures before an unloading segment can be recorded (</w:t>
      </w:r>
      <w:r>
        <w:rPr>
          <w:b/>
          <w:bCs/>
        </w:rPr>
        <w:t xml:space="preserve">Fig. 10a</w:t>
      </w:r>
      <w:r>
        <w:t xml:space="preserve">). A variable that is held at zero across the change in grain size the record covers is not the variable that grain size controls. Abnormal grain growth multiplies a transformation strain; it does not create one, and there is nothing here for it to multiply. Bamboo raises a recoverable strain that already exists; whether it could create one in an alloy that shows none is not tested here, because the LLM-alloy rod does not survive the treatment to the test. That, rather than the difficulty of the treatment or the embrittlement described above, is the reason the route was not carried further.</w:t>
      </w:r>
    </w:p>
    <w:p>
      <w:pPr>
        <w:pStyle w:val="BodyText"/>
      </w:pPr>
      <w:r>
        <w:t xml:space="preserve">The consequence for the hypothesis under test is then narrow and specific. That hypothesis (Sec. 1) held that the composition would show super-elasticity</w:t>
      </w:r>
      <w:r>
        <w:t xml:space="preserve"> </w:t>
      </w:r>
      <w:r>
        <w:rPr>
          <w:i/>
          <w:iCs/>
        </w:rPr>
        <w:t xml:space="preserve">without</w:t>
      </w:r>
      <w:r>
        <w:t xml:space="preserve"> </w:t>
      </w:r>
      <w:r>
        <w:t xml:space="preserve">requiring the bamboo grain structure that makes the benchmark difficult to produce industrially. The premise is not contradicted here — bamboo was not reached, and the coarsened conditions tested were brittle (one specimen each, with grain size confounded with time at temperature). What fails is the conclusion: the alloy does not transform in the fine-grained condition either, so removing the need for bamboo bought nothing. The calculated duplex constitution offers one account of both halves of that sentence — stabilizing the fine structure against the AGG treatment and, on the interpretation of Sec. 4.1, suppressing the transformation. An alloy design workflow that had checked phase constitution at the solution-treatment temperature would have flagged that constitution before any metal was melted — a point taken up in Sec. 4.4.</w:t>
      </w:r>
    </w:p>
    <w:p>
      <w:r>
        <w:pict>
          <v:rect style="width:0;height:1.5pt" o:hralign="center" o:hrstd="t" o:hr="t"/>
        </w:pict>
      </w:r>
    </w:p>
    <w:bookmarkEnd w:id="22"/>
    <w:bookmarkEnd w:id="23"/>
    <w:bookmarkStart w:id="28" w:name="discussion"/>
    <w:p>
      <w:pPr>
        <w:pStyle w:val="Heading1"/>
      </w:pPr>
      <w:r>
        <w:t xml:space="preserve">4. Discussion</w:t>
      </w:r>
    </w:p>
    <w:bookmarkStart w:id="24" w:name="X07a32e9eb441cfc20c84eb8c17dd36f5d20814f"/>
    <w:p>
      <w:pPr>
        <w:pStyle w:val="Heading2"/>
      </w:pPr>
      <w:r>
        <w:t xml:space="preserve">4.1 Interpreting the absence of stress-induced phase transformation</w:t>
      </w:r>
    </w:p>
    <w:p>
      <w:pPr>
        <w:pStyle w:val="FirstParagraph"/>
      </w:pPr>
      <w:r>
        <w:t xml:space="preserve">Four levels of evidence run through this section, and they should be kept apart. What was measured is that, in each condition reported here — the seven 1-minute anneals of</w:t>
      </w:r>
      <w:r>
        <w:t xml:space="preserve"> </w:t>
      </w:r>
      <w:r>
        <w:rPr>
          <w:b/>
          <w:bCs/>
        </w:rPr>
        <w:t xml:space="preserve">Fig. 2</w:t>
      </w:r>
      <w:r>
        <w:t xml:space="preserve"> </w:t>
      </w:r>
      <w:r>
        <w:t xml:space="preserve">at 600, 700, 800, 900, 1000, 1100 and 1200 °C, the 1200 °C anneal followed by the 200 °C/3 h age (</w:t>
      </w:r>
      <w:r>
        <w:rPr>
          <w:b/>
          <w:bCs/>
        </w:rPr>
        <w:t xml:space="preserve">Fig. 2h</w:t>
      </w:r>
      <w:r>
        <w:t xml:space="preserve">), the loading–unloading–heating test at 1200 °C/1 min (</w:t>
      </w:r>
      <w:r>
        <w:rPr>
          <w:b/>
          <w:bCs/>
        </w:rPr>
        <w:t xml:space="preserve">Fig. 3a</w:t>
      </w:r>
      <w:r>
        <w:t xml:space="preserve">), and the cyclically treated conditions whose unloading segments were recorded (</w:t>
      </w:r>
      <w:r>
        <w:rPr>
          <w:b/>
          <w:bCs/>
        </w:rPr>
        <w:t xml:space="preserve">Fig. 10c, f</w:t>
      </w:r>
      <w:r>
        <w:t xml:space="preserve">, and</w:t>
      </w:r>
      <w:r>
        <w:t xml:space="preserve"> </w:t>
      </w:r>
      <w:r>
        <w:rPr>
          <w:b/>
          <w:bCs/>
        </w:rPr>
        <w:t xml:space="preserve">Fig. 10e</w:t>
      </w:r>
      <w:r>
        <w:t xml:space="preserve">, whose 6.0 mm gauge is compliance-dominated, Sec. 2.4) — the LLM-alloy recovered no strain beyond σ/E on unloading; that after the 1200 °C/1 min anneal it recovered none on heating (</w:t>
      </w:r>
      <w:r>
        <w:rPr>
          <w:b/>
          <w:bCs/>
        </w:rPr>
        <w:t xml:space="preserve">Fig. 3a</w:t>
      </w:r>
      <w:r>
        <w:t xml:space="preserve">), while the benchmark given the same anneal recovered ≈0.5% (</w:t>
      </w:r>
      <w:r>
        <w:rPr>
          <w:b/>
          <w:bCs/>
        </w:rPr>
        <w:t xml:space="preserve">Fig. 3b</w:t>
      </w:r>
      <w:r>
        <w:t xml:space="preserve">); and that the diffraction pattern of the 1200 °C/1 min wire, γ-majority after the quench (Sec. 3.3), was essentially unchanged by 10% strain (</w:t>
      </w:r>
      <w:r>
        <w:rPr>
          <w:b/>
          <w:bCs/>
        </w:rPr>
        <w:t xml:space="preserve">Fig. 4a, b</w:t>
      </w:r>
      <w:r>
        <w:t xml:space="preserve">). What is calculated is that no solution treatment within the processing window accessible here brings this composition to single-phase α, and that Sec. 3.4 finds no such field in the solid state at all; that statement reaches beyond the conditions reported to the composition itself, but it rests on equilibrium calculation in three databases rather than on measurement. What is open is why the quenched wire holds more γ than the calculation places at 1200 °C, and therefore whether the scarcity of α after the quench was already present at 1200 °C or arose on cooling; the two readings are set out below and are not resolved here. What is not claimed is that the composition is incapable of super-elasticity under any processing: a solution or aging treatment not tried here is untested (Sec. 4.4), and what this paper evaluates is the potential of this alloy as processed by the one route used here.</w:t>
      </w:r>
    </w:p>
    <w:p>
      <w:pPr>
        <w:pStyle w:val="BodyText"/>
      </w:pPr>
      <w:r>
        <w:t xml:space="preserve">The absence of super-elasticity and of a shape-memory response in the LLM-hypothesized alloy (measured composition 51.5Fe-29.8Mn-11.9Al-4.2Ni-2.0Si-0.45C at%), in the conditions just listed, is interpreted here in terms of a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LLM-alloy, as quenched from 1200 °C, is structurally dominated by the γ-phase (≈62%), whereas the α-phase accounts for only ≈34% of the volume fraction, with a further ≈4% present as ordered D0₃ (Sec. 3.3). Compared to the benchmark alloy (43.5Fe-34Mn-15Al-7.5Ni at%), the LLM-alloy has less Mn, Al, and Ni, but higher Fe, Si, and C. It is known that Fe, Si, and Al stabilize the BCC α-phase, while Mn, Ni, and C stabilize the FCC γ-phase</w:t>
      </w:r>
      <w:r>
        <w:t xml:space="preserve"> </w:t>
      </w:r>
      <w:r>
        <w:t xml:space="preserve">(Ref 36)</w:t>
      </w:r>
      <w:r>
        <w:t xml:space="preserve">. The hypothesis under test (Sec. 1)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 and the equilibrium calculations of Sec. 3.4 identify carbon as the element that closes the single-phase α field at the solution-treatment temperature (Sec. 4.2).</w:t>
      </w:r>
    </w:p>
    <w:p>
      <w:pPr>
        <w:pStyle w:val="BodyText"/>
      </w:pPr>
      <w:r>
        <w:t xml:space="preserve">What was and was not anticipated can be stated precisely, because the design report survives and is supplied as Online Resource 1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pPr>
        <w:pStyle w:val="BodyText"/>
      </w:pPr>
      <w:r>
        <w:t xml:space="preserve">The thermodynamic calculations place part of this argument on a quantitative footing and change its emphasis. They do not address the driving force for transformation of the α that is present, which is not evaluated here; what they show is that no accessible heat treatment produces a single-phase α parent in the first place. At 1200 °C the alloy is calculated to be a two-phase α + γ mixture in all three databases, and in none of them does a single-phase α field open before the alloy begins to melt — at ≈1240 °C in mc_fe and ≈1295 °C in mpea-02b and PrecHiMn-04 — so a single-phase parent state is, on the calculation, unreachable in the solid state, independently of the 1200 °C oxidation limit of the process (Sec. 3.4). The duplex constitution that the calculation predicts at the solution-treatment temperature is what is observed in kind, though not in proportion: the interlocked two-phase morphology of</w:t>
      </w:r>
      <w:r>
        <w:t xml:space="preserve"> </w:t>
      </w:r>
      <w:r>
        <w:rPr>
          <w:b/>
          <w:bCs/>
        </w:rPr>
        <w:t xml:space="preserve">Fig. 1b</w:t>
      </w:r>
      <w:r>
        <w:t xml:space="preserve">, the Al-rich and Mn-rich EDS partitioning that accompanies it, and the coexisting α and γ reflections of</w:t>
      </w:r>
      <w:r>
        <w:t xml:space="preserve"> </w:t>
      </w:r>
      <w:r>
        <w:rPr>
          <w:b/>
          <w:bCs/>
        </w:rPr>
        <w:t xml:space="preserve">Figs. 4a and 5</w:t>
      </w:r>
      <w:r>
        <w:t xml:space="preserve">. It also offers an account of why the</w:t>
      </w:r>
      <w:r>
        <w:t xml:space="preserve"> </w:t>
      </w:r>
      <w:r>
        <w:rPr>
          <w:i/>
          <w:iCs/>
        </w:rPr>
        <w:t xml:space="preserve">constitution</w:t>
      </w:r>
      <w:r>
        <w:t xml:space="preserve"> </w:t>
      </w:r>
      <w:r>
        <w:t xml:space="preserve">is insensitive to annealing time even though the grain size is not: the duplex state is observed after 40 minutes at 1200 °C (</w:t>
      </w:r>
      <w:r>
        <w:rPr>
          <w:b/>
          <w:bCs/>
        </w:rPr>
        <w:t xml:space="preserve">Fig. 1c</w:t>
      </w:r>
      <w:r>
        <w:t xml:space="preserve">) and after the full cyclic treatment (Sec. 3.3) because both phases are calculated to be in equilibrium at that temperature, so neither is removed by longer holding; what the calculation does not reproduce is the measured proportion of the two, and that discrepancy is taken up next. What prolonged annealing changes is the scale of that state rather than its identity — both constituents coarsen together, and the coarsened conditions tested were brittle (Sec. 3.5). That the same calculations independently reproduce the benchmark alloy’s single-phase α field (</w:t>
      </w:r>
      <w:r>
        <w:rPr>
          <w:b/>
          <w:bCs/>
        </w:rPr>
        <w:t xml:space="preserve">Fig. 9a</w:t>
      </w:r>
      <w:r>
        <w:t xml:space="preserve">), which was not fitted here, is what licenses their application to the test alloy.</w:t>
      </w:r>
    </w:p>
    <w:p>
      <w:pPr>
        <w:pStyle w:val="BodyText"/>
      </w:pPr>
      <w:r>
        <w:t xml:space="preserve">One quantitative discrepancy should be stated plainly. The calculations place α in the majority at 1200 °C (62–71%,</w:t>
      </w:r>
      <w:r>
        <w:t xml:space="preserve"> </w:t>
      </w:r>
      <w:r>
        <w:rPr>
          <w:b/>
          <w:bCs/>
        </w:rPr>
        <w:t xml:space="preserve">Table 3</w:t>
      </w:r>
      <w:r>
        <w:t xml:space="preserve">), whereas the refinement of the quenched wire places γ in the majority (≈62%); the two agree that the alloy is duplex but not on which phase dominates. The inversion is large — ≈62% γ refined against 29–38% calculated — and it is not peculiar to one pattern, since the pattern of a separate specimen of the same wire after deformation is essentially unchanged in relative intensities (</w:t>
      </w:r>
      <w:r>
        <w:rPr>
          <w:b/>
          <w:bCs/>
        </w:rPr>
        <w:t xml:space="preserve">Fig. 6a</w:t>
      </w:r>
      <w:r>
        <w:t xml:space="preserve">), although that comparison is qualitative, the phase fractions having been held fixed in the refinement of the deformed pattern (Sec. 3.3). Two readings are open and the present data do not decide between them. The first is that the γ was present at 1200 °C in more than the calculated amount, either because the databases — which themselves span 62 to 71% α — overestimate α at that temperature, or because the wire, which enters the strand anneal cold-drawn ≈85% after its last process anneal at 1000 °C (Sec. 2.1), a temperature at which the primary database calculates it to be fully austenitic (</w:t>
      </w:r>
      <w:r>
        <w:rPr>
          <w:b/>
          <w:bCs/>
        </w:rPr>
        <w:t xml:space="preserve">Fig. 9b</w:t>
      </w:r>
      <w:r>
        <w:t xml:space="preserve">), was not carried to the 1200 °C equilibrium in the time available; phase fractions were not measured for the 40-minute condition (</w:t>
      </w:r>
      <w:r>
        <w:rPr>
          <w:b/>
          <w:bCs/>
        </w:rPr>
        <w:t xml:space="preserve">Fig. 1c</w:t>
      </w:r>
      <w:r>
        <w:t xml:space="preserve">) or for the cyclically treated condition (Sec. 3.3), so this sub-reading is untested here. The second is that part of the α present at temperature transformed to γ on cooling; since γ is the transformation product in this system (Sec. 3.3), a martensitic α → γ reaction during the quench would invert the ratio and would place the martensite start temperature above room temperature. The EDS partitioning of</w:t>
      </w:r>
      <w:r>
        <w:t xml:space="preserve"> </w:t>
      </w:r>
      <w:r>
        <w:rPr>
          <w:b/>
          <w:bCs/>
        </w:rPr>
        <w:t xml:space="preserve">Fig. 1b</w:t>
      </w:r>
      <w:r>
        <w:t xml:space="preserve"> </w:t>
      </w:r>
      <w:r>
        <w:t xml:space="preserve">does not discriminate between the readings. The Al-rich and Mn-rich constituents are the partitioning expected between α and γ at 1200 °C under either reading, and a martensitic γ formed from α on the quench would inherit that α’s Al-rich composition</w:t>
      </w:r>
      <w:r>
        <w:t xml:space="preserve"> </w:t>
      </w:r>
      <w:r>
        <w:t xml:space="preserve">(Ref 36)</w:t>
      </w:r>
      <w:r>
        <w:t xml:space="preserve"> </w:t>
      </w:r>
      <w:r>
        <w:t xml:space="preserve">and so would not be separated from α by chemistry alone; the EDS result is reported qualitatively (Sec. 3.1), without a map of composition against crystal structure and without a fraction of either constituent. The microstructural test is a phase map with composition on the same area (EBSD with EDS), in which Al-rich regions indexing as FCC would be the signature of the second reading, or an areal fraction of the Mn-rich constituent on the same mount, which the first reading requires to match the ≈62% γ of the refinement and the second to fall below it; neither was performed. The lath-like appearance of the cyclically treated wire (</w:t>
      </w:r>
      <w:r>
        <w:rPr>
          <w:b/>
          <w:bCs/>
        </w:rPr>
        <w:t xml:space="preserve">Fig. 1d</w:t>
      </w:r>
      <w:r>
        <w:t xml:space="preserve">, Sec. 3.1) is consistent with either reading. The control bears on this without deciding it: the benchmark is calculated to be single-phase α at 1200 °C, yet its pattern after the same 1-minute anneal and quench carries γ reflections (</w:t>
      </w:r>
      <w:r>
        <w:rPr>
          <w:b/>
          <w:bCs/>
        </w:rPr>
        <w:t xml:space="preserve">Fig. 4c</w:t>
      </w:r>
      <w:r>
        <w:t xml:space="preserve">, Sec. 3.3), so a calculated single-phase α state at temperature does not guarantee a γ-free quenched state even in an alloy that transforms; the amount of that γ could not be refined, and whether it was present at temperature or formed on cooling is equally open. The two readings do not bear equally on this interpretation, and the difference should be stated. Under the first, the γ excess was already present at 1200 °C, and the scarcity of α after the quench reflects the constitution at the solution-treatment temperature. Under the second, more α was present at 1200 °C than survived the quench, and the proportion at temperature is then known only from the calculation. What holds under both is narrower: no strain recovery beyond σ/E in any condition in which unloading was recorded (Secs. 3.2 and 3.5), none on heating in the one condition given that test (</w:t>
      </w:r>
      <w:r>
        <w:rPr>
          <w:b/>
          <w:bCs/>
        </w:rPr>
        <w:t xml:space="preserve">Fig. 3a</w:t>
      </w:r>
      <w:r>
        <w:t xml:space="preserve">), a minority of α after the quench (≈34%, Sec. 3.3), and the calculated absence of any single-phase α field from which the benchmark’s microstructure could be produced (Sec. 3.4). Attributing the null result to the missing single-phase parent state is therefore an interpretation consistent with both readings but established by neither, and it is offered on that basis. The direct test of whether a transformation occurs on cooling is differential scanning calorimetry of the strand-annealed wire through heating and cooling, with the benchmark wire as the control; it has not been performed, and the question is carried as open in Sec. 4.4.</w:t>
      </w:r>
    </w:p>
    <w:p>
      <w:pPr>
        <w:pStyle w:val="BodyText"/>
      </w:pPr>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steels</w:t>
      </w:r>
      <w:r>
        <w:t xml:space="preserve"> </w:t>
      </w:r>
      <w:r>
        <w:t xml:space="preserve">(Ref 16)</w:t>
      </w:r>
      <w:r>
        <w:t xml:space="preserve">,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w:t>
      </w:r>
      <w:r>
        <w:t xml:space="preserve"> </w:t>
      </w:r>
      <w:r>
        <w:t xml:space="preserve">(Ref 17)</w:t>
      </w:r>
      <w:r>
        <w:t xml:space="preserve">. The ordering behavior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single-phase α matrix in which coherent B2 could form, and the microstructure the benchmark relies upon is, on the equilibrium calculation of Sec. 3.4, unavailable to this composition at any temperature in the solid state. This is a stronger statement than the absence of a B2 reflection alone would support, and it offers an account, though not a demonstrated cause, of the failure of the 200 °C aging treatment (</w:t>
      </w:r>
      <w:r>
        <w:rPr>
          <w:b/>
          <w:bCs/>
        </w:rPr>
        <w:t xml:space="preserve">Fig. 2h</w:t>
      </w:r>
      <w:r>
        <w:t xml:space="preserve">) to induce any pseudo-elastic response.</w:t>
      </w:r>
    </w:p>
    <w:p>
      <w:pPr>
        <w:pStyle w:val="BodyText"/>
      </w:pPr>
      <w:r>
        <w:t xml:space="preserve">One asymmetry in the experimental design is worth making explicit, because it bears directly on whether the processing route was simply the wrong route for this composition. The two alloys were not treated identically in the respect that matters most for aging. The LLM-alloy received the 200 °C / 3 h age reported to improve pseudo-elasticity in this family</w:t>
      </w:r>
      <w:r>
        <w:t xml:space="preserve"> </w:t>
      </w:r>
      <w:r>
        <w:t xml:space="preserve">(Ref 32,33)</w:t>
      </w:r>
      <w:r>
        <w:t xml:space="preserve"> </w:t>
      </w:r>
      <w:r>
        <w:t xml:space="preserve">and showed no response whatever (</w:t>
      </w:r>
      <w:r>
        <w:rPr>
          <w:b/>
          <w:bCs/>
        </w:rPr>
        <w:t xml:space="preserve">Fig. 2h</w:t>
      </w:r>
      <w:r>
        <w:t xml:space="preserve">, indistinguishable from the unaged</w:t>
      </w:r>
      <w:r>
        <w:t xml:space="preserve"> </w:t>
      </w:r>
      <w:r>
        <w:rPr>
          <w:b/>
          <w:bCs/>
        </w:rPr>
        <w:t xml:space="preserve">Fig. 2g</w:t>
      </w:r>
      <w:r>
        <w:t xml:space="preserve">). The benchmark in</w:t>
      </w:r>
      <w:r>
        <w:t xml:space="preserve"> </w:t>
      </w:r>
      <w:r>
        <w:rPr>
          <w:b/>
          <w:bCs/>
        </w:rPr>
        <w:t xml:space="preserve">Fig. 3b</w:t>
      </w:r>
      <w:r>
        <w:t xml:space="preserve"> </w:t>
      </w:r>
      <w:r>
        <w:t xml:space="preserve">received no age at all — 1200 °C for 1 min and cooling, nothing more — and still showed reverse transformation on heating. The two tests differ — the aged LLM-alloy was examined on unloading (</w:t>
      </w:r>
      <w:r>
        <w:rPr>
          <w:b/>
          <w:bCs/>
        </w:rPr>
        <w:t xml:space="preserve">Fig. 2h</w:t>
      </w:r>
      <w:r>
        <w:t xml:space="preserve">), not in the heating test — but the aging asymmetry runs in the LLM-alloy’s favor rather than against it, and the null result cannot be attributed to an aging treatment that was withheld. This is not the same as claiming the route was optimal for the LLM composition: no route was optimized for either alloy, and whether some other solution or aging window could unlock a transformation in this chemistry is untested and is named as such in Sec. 4.4.</w:t>
      </w:r>
    </w:p>
    <w:p>
      <w:pPr>
        <w:pStyle w:val="BodyText"/>
      </w:pPr>
      <w:r>
        <w:t xml:space="preserve">Furthermore, mechanical and structural analyses indicate that the LLM-alloy accommodates macroscopic deformation via irreversible dislocation slip rather than phase transitions. Coherent, ordered β-NiAl (B2) precipitates within a BCC matrix contribute to, rather than solely determine, the transformation reversibility of the benchmark</w:t>
      </w:r>
      <w:r>
        <w:t xml:space="preserve"> </w:t>
      </w:r>
      <w:r>
        <w:t xml:space="preserve">(Ref 35)</w:t>
      </w:r>
      <w:r>
        <w:t xml:space="preserve">; parent-phase stability, transformation temperature, grain size, crystallographic orientation and texture, and the competition between the transformation stress and the plastic yield stress all bear on whether a stress-induced transformation can proceed reversibly. The precipitates are not even a purely mechanical contribution: by drawing Ni and Al out of solution they alter the composition of the matrix that surrounds them, and hence its transformation temperatures, so that the same aging treatment shifts both the obstacle field and the thermodynamic setting in which the transformation must occur</w:t>
      </w:r>
      <w:r>
        <w:t xml:space="preserve"> </w:t>
      </w:r>
      <w:r>
        <w:t xml:space="preserve">(Ref 37)</w:t>
      </w:r>
      <w:r>
        <w:t xml:space="preserve">. In the LLM-alloy the ordered phase that forms is D0₃ Fe₃Al, present at ≈4% (Sec. 3.3) and not shown by the present data to form a fine coherent dispersion, so there is no evidence that it raises the resistance to plastic flow in the way that B2 does in the benchmark. The slip interpretation is supported by the post-deformation synchrotron XRD patterns, where the transition from sharp, discrete spots to broad, partially arced rings reflects dislocation multiplication and sub-grain formation. Thus, as processed here, the duplex LLM-alloy deforms by dislocation slip rather than by stress-induced martensitic transformation.</w:t>
      </w:r>
    </w:p>
    <w:bookmarkEnd w:id="24"/>
    <w:bookmarkStart w:id="25" w:name="the-role-of-carbon"/>
    <w:p>
      <w:pPr>
        <w:pStyle w:val="Heading2"/>
      </w:pPr>
      <w:r>
        <w:t xml:space="preserve">4.2 The role of carbon</w:t>
      </w:r>
    </w:p>
    <w:p>
      <w:pPr>
        <w:pStyle w:val="FirstParagraph"/>
      </w:pPr>
      <w:r>
        <w:t xml:space="preserve">Five alloying additions (Mn, Al, Ni, Si, C) differ between the two alloys, Fe making up the balance, so no comparison of the two cast heats can by itself establish which of them is responsible for the loss of super-elasticity. On a plain atomic-percent basis carbon is the smallest of the five changes, and singling it out on a two-heat comparison would otherwise be arbitrary. The virtual carbon-free composition of Sec. 3.4 is the control that resolves this for the phase field — which element closes the single-phase α window — because it changes carbon alone while holding Fe, Mn, Al, Ni and Si at the values actually measured in the cast wire.</w:t>
      </w:r>
    </w:p>
    <w:p>
      <w:pPr>
        <w:pStyle w:val="BodyText"/>
      </w:pPr>
      <w:r>
        <w:t xml:space="preserve">A shortcut is available before that control, and it fails in a way worth recording, because reasoning of exactly this kind is what proposed the alloy. Austenite-stabilizing potency is conventionally summarized by a Schaeffler-type nickel equivalent, Ni_eq = Ni + 30C + 0.5Mn in weight percent, in which carbon carries thirty times the weight of nickel and which would appear to settle the question immediately. Evaluated on the measured chemistries it returns</w:t>
      </w:r>
      <w:r>
        <w:t xml:space="preserve"> </w:t>
      </w:r>
      <w:r>
        <w:rPr>
          <w:b/>
          <w:bCs/>
        </w:rPr>
        <w:t xml:space="preserve">23.9 for the LLM-alloy against 27.5 for the benchmark</w:t>
      </w:r>
      <w:r>
        <w:t xml:space="preserve"> </w:t>
      </w:r>
      <w:r>
        <w:t xml:space="preserve">— ranking the benchmark as the</w:t>
      </w:r>
      <w:r>
        <w:t xml:space="preserve"> </w:t>
      </w:r>
      <w:r>
        <w:rPr>
          <w:i/>
          <w:iCs/>
        </w:rPr>
        <w:t xml:space="preserve">more</w:t>
      </w:r>
      <w:r>
        <w:t xml:space="preserve"> </w:t>
      </w:r>
      <w:r>
        <w:t xml:space="preserve">austenite-stabilized of the two, the opposite of what both the calculations of Sec. 3.4 and the diffraction of Sec. 3.3 show. Two things defeat it. First, the expression carries no aluminum term at all, yet aluminum is a major addition in both alloys (6.2 and 8.0 wt%; the second-largest by atom fraction) and the strongest ferrite stabilizer either of them contains; the difference in aluminum between the two heats is invisible to the formula. Second, the carbon term is a weight-percent term, and the distinction is not cosmetic at 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aluminum is absent and chromium supplies the ferrite stabilization,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pPr>
        <w:pStyle w:val="BodyText"/>
      </w:pPr>
      <w:r>
        <w:t xml:space="preserve">The result is unambiguous and reproduces across all three databases (</w:t>
      </w:r>
      <w:r>
        <w:rPr>
          <w:b/>
          <w:bCs/>
        </w:rPr>
        <w:t xml:space="preserve">Table 3</w:t>
      </w:r>
      <w:r>
        <w:t xml:space="preserve">). Deleting 0.45 at% (≈0.10 wt%) carbon creates a single-phase α field where none existed — one that opens at ≈1130–1160 °C and extends to the solidus in all three databases — and converts the equilibrium constitution at 1200 °C from a 62–71% α + 29–38% γ mixture into 100% α, the same single-phase state the benchmark alloy reaches at that temperature. On the calculation, carbon, at a concentration of one part in a thousand by weight, is what closes the solution-treatment window on which the benchmark’s processing route depends.</w:t>
      </w:r>
    </w:p>
    <w:p>
      <w:pPr>
        <w:pStyle w:val="BodyText"/>
      </w:pPr>
      <w:r>
        <w:t xml:space="preserve">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does not create the missing field — with carbon present the alloy is still α + γ at the onset of melting at every nickel content from 4.2 to 7.8 at% — so</w:t>
      </w:r>
      <w:r>
        <w:t xml:space="preserve"> </w:t>
      </w:r>
      <w:r>
        <w:rPr>
          <w:b/>
          <w:bCs/>
        </w:rPr>
        <w:t xml:space="preserve">restoring the benchmark’s own nickel content to this alloy would not have opened the solution-treatment window.</w:t>
      </w:r>
      <w:r>
        <w:t xml:space="preserve"> </w:t>
      </w:r>
      <w:r>
        <w:t xml:space="preserve">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on the calculation the lower nickel content cannot substitute for carbon as the cause of the closed window.</w:t>
      </w:r>
    </w:p>
    <w:p>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w:t>
      </w:r>
      <w:r>
        <w:t xml:space="preserve"> </w:t>
      </w:r>
      <w:r>
        <w:rPr>
          <w:i/>
          <w:iCs/>
        </w:rPr>
        <w:t xml:space="preserve">et al.</w:t>
      </w:r>
      <w:r>
        <w:t xml:space="preserve"> </w:t>
      </w:r>
      <w:r>
        <w:t xml:space="preserve">(Ref 38)</w:t>
      </w:r>
      <w:r>
        <w:t xml:space="preserve">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pPr>
        <w:pStyle w:val="BodyText"/>
      </w:pPr>
      <w:r>
        <w:t xml:space="preserve">The limits of this conclusion should be stated as clearly as the conclusion itself. On the calculation, carbon is decisive at the temperature where the process operates, not across the whole temperature range. Over roughly 850–1020 °C both the as-measured composition (</w:t>
      </w:r>
      <w:r>
        <w:rPr>
          <w:b/>
          <w:bCs/>
        </w:rPr>
        <w:t xml:space="preserve">Fig. 9b</w:t>
      </w:r>
      <w:r>
        <w:t xml:space="preserve">, fully austenitic to ≈1050 °C, Sec. 3.4) and the carbon-free control (</w:t>
      </w:r>
      <w:r>
        <w:rPr>
          <w:b/>
          <w:bCs/>
        </w:rPr>
        <w:t xml:space="preserve">Fig. 9c</w:t>
      </w:r>
      <w:r>
        <w:t xml:space="preserve">) are calculated to be fully austenitic, so the lower Al and Ni contents of the LLM-alloy do move the α/γ boundary independently of carbon. The defensible claim is therefore narrower and more useful than</w:t>
      </w:r>
      <w:r>
        <w:t xml:space="preserve"> </w:t>
      </w:r>
      <w:r>
        <w:t xml:space="preserve">“carbon caused the failure”</w:t>
      </w:r>
      <w:r>
        <w:t xml:space="preserve">: carbon closes the single-phase α field at the solution-treatment temperature, and without that field the alloy cannot be brought into the single-phase parent state that the benchmark’s route to super-elasticity requires, whatever the other elements do elsewhere. Whether that closure is the operative cause of the null result is the step left open in Sec. 4.1.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well-specified heat.</w:t>
      </w:r>
    </w:p>
    <w:p>
      <w:pPr>
        <w:pStyle w:val="BodyText"/>
      </w:pPr>
      <w:r>
        <w:t xml:space="preserve">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strengthening, and none was detected by the diffraction and SEM performed, which would not resolve a fine dispersion. This places the LLM-alloy in an unfavorable position with respect to the Fe-Mn-Al-C lightweight-steel family, whose compositional field it otherwise resembles: those alloys derive their strength from κ-carbide precipitation at carbon contents near 1 wt% (0.8–0.9 wt% in the representatives of Sec. 2.1</w:t>
      </w:r>
      <w:r>
        <w:t xml:space="preserve"> </w:t>
      </w:r>
      <w:r>
        <w:t xml:space="preserve">(Ref 16,17)</w:t>
      </w:r>
      <w:r>
        <w:t xml:space="preserve">), roughly an order of magnitude above the ≈0.10 wt% present here. The LLM-alloy carries enough carbon to incur the γ-stabilization penalty that, on the calculation, closes the single-phase α field the shape-memory route requires, but not enough to collect the precipitation strengthening that would justify it.</w:t>
      </w:r>
    </w:p>
    <w:p>
      <w:pPr>
        <w:pStyle w:val="BodyText"/>
      </w:pPr>
      <w:r>
        <w:t xml:space="preserve">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w:t>
      </w:r>
      <w:r>
        <w:t xml:space="preserve"> </w:t>
      </w:r>
      <w:r>
        <w:t xml:space="preserve">(Ref 16,17)</w:t>
      </w:r>
      <w:r>
        <w:t xml:space="preserve">.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recrystallization temperature, and the ordering of α to B2 is a liability to be managed for its embrittling effect rather than a mechanism to be exploited</w:t>
      </w:r>
      <w:r>
        <w:t xml:space="preserve"> </w:t>
      </w:r>
      <w:r>
        <w:t xml:space="preserve">(Ref 16)</w:t>
      </w:r>
      <w:r>
        <w:t xml:space="preserve">.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pPr>
        <w:pStyle w:val="BodyText"/>
      </w:pPr>
      <w:r>
        <w:t xml:space="preserve">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behind all of this requires no proprietary software and uses only openly available databases. Had it been run before melting, it would have flagged that the intended 1200 °C solution treatment lies in a two-phase field that persists up to the alloy’s melting point.</w:t>
      </w:r>
    </w:p>
    <w:bookmarkEnd w:id="25"/>
    <w:bookmarkStart w:id="26" w:name="X14190cefc5af7e6c61eb8a7f0ac8ec72264613c"/>
    <w:p>
      <w:pPr>
        <w:pStyle w:val="Heading2"/>
      </w:pPr>
      <w:r>
        <w:t xml:space="preserve">4.3 Anneal-temperature dependence of mechanical properties</w:t>
      </w:r>
    </w:p>
    <w:p>
      <w:pPr>
        <w:pStyle w:val="FirstParagraph"/>
      </w:pPr>
      <w:r>
        <w:t xml:space="preserve">Although the LLM-alloy did not show super-elastic behavior, its monotonic tensile behavior varies strongly with annealing temperature, and the trends are exactly those expected for a cold-drawn wire passing through recovery, recrystallization, and grain growth. Reading these as a survey rather than a designed experiment, three regimes emerge.</w:t>
      </w:r>
    </w:p>
    <w:p>
      <w:pPr>
        <w:pStyle w:val="BodyText"/>
      </w:pPr>
      <w:r>
        <w:t xml:space="preserve">At the lowest temperatures (600–700 °C) the wire is very strong but essentially brittle: tensile strengths of ≈1876–2254 MPa and yield strengths of ≈1635–1908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drawing is what sustains the high strength, and the small ductility gains in this window reflect stress relief rather than any genuine restoration of formability; the wire still fractures soon after yield.</w:t>
      </w:r>
    </w:p>
    <w:p>
      <w:pPr>
        <w:pStyle w:val="BodyText"/>
      </w:pPr>
      <w:r>
        <w:t xml:space="preserve">The abrupt change near 800 °C is consistent with the onset of recrystallization. Elongation jumps from 2.2% at 700 °C to 26.1% at 800 °C, while tensile strength falls from 1876 to 1209 MPa and yield strength from 1635 to 1151 MPa. A discontinuity of this kind — rather than a smooth softening — is the signature of recrystallization: new equiaxed, strain-free grains nucleate and consume the deformed matrix, removing most of the stored dislocation content and abruptly restoring ductility. We infer the recrystallization threshold from the mechanical response rather than observe it directly, since micrographs were not taken at every anneal temperature; electron backscatter diffraction across the anneal series would settle it.</w:t>
      </w:r>
    </w:p>
    <w:p>
      <w:pPr>
        <w:pStyle w:val="BodyText"/>
      </w:pPr>
      <w:r>
        <w:t xml:space="preserve">From 800 to 1200 °C the behavior is that of a recrystallized wire in which the dominant process is grain growth. Yield strength falls monotonically with temperature (1151 → 519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structural metal whose flow stress is grain-size controlled. Above 1000 °C, elongation eases back slightly (29.1% at 1100 °C, 25.6% at 1200 °C), which we attribute to excessive coarsening reducing uniform elongation even as the matrix continues to soften. Throughout the sweep, the elastic modulus stays within ≈150–162 GPa, as expected for a structure-insensitive property of an essentially unchanged multi-phase mixture.</w:t>
      </w:r>
    </w:p>
    <w:p>
      <w:pPr>
        <w:pStyle w:val="BodyText"/>
      </w:pPr>
      <w:r>
        <w:t xml:space="preserve">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≈675 MPa yield strength with ≈33% elongation. What it does not do is transform. The alloy is therefore best read not as a failed material but as a serviceable structural metal that was hypothesized to be a shape-memory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w:t>
      </w:r>
      <w:r>
        <w:t xml:space="preserve">(Ref 16)</w:t>
      </w:r>
      <w:r>
        <w:t xml:space="preserve">, and the 1000–1200 °C conditions of</w:t>
      </w:r>
      <w:r>
        <w:t xml:space="preserve"> </w:t>
      </w:r>
      <w:r>
        <w:rPr>
          <w:b/>
          <w:bCs/>
        </w:rPr>
        <w:t xml:space="preserve">Table 2</w:t>
      </w:r>
      <w:r>
        <w:t xml:space="preserve"> </w:t>
      </w:r>
      <w:r>
        <w:t xml:space="preserve">sit inside that envelope on all three measures (σ₀.₂ 519–675 MPa, UTS 968–978 MPa, elongation 25.6–33.0%),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relative to the shape-memory alloys is, on the calculation, an accessible single-phase parent field (Secs. 3.4 and 4.1). It is an unoptimized member of the first family rather than a failed member of the second, which is a more informative outcome than failure alone.</w:t>
      </w:r>
    </w:p>
    <w:bookmarkEnd w:id="26"/>
    <w:bookmarkStart w:id="27" w:name="implications-for-ai-guided-alloy-design"/>
    <w:p>
      <w:pPr>
        <w:pStyle w:val="Heading2"/>
      </w:pPr>
      <w:r>
        <w:t xml:space="preserve">4.4 Implications for AI-guided alloy design</w:t>
      </w:r>
    </w:p>
    <w:p>
      <w:pPr>
        <w:pStyle w:val="FirstParagraph"/>
      </w:pPr>
      <w:r>
        <w:t xml:space="preserve">The workflow that produced this alloy should be stated before its outcome is interpreted, because the outcome belongs to that workflow and not to AI-assisted design in general. A deep-research agent was asked for lower-cost Fe-based compositions with the potential for super-elasticity; it returned six ranked candidate families, each with a stated rationale and a performance target (Sec. 2.1); one candidate was chosen and a composition drawn from it — outside its stated range in manganese and aluminum (Sec. 2.1) — was melted; and between the report and the melt no calculation of phase stability was made. As shown in this study, the LLM-hypothesized alloy developed a stable multiphase microstructure consisting mainly of FCC γ and BCC α phases, and neither mechanical testing nor synchrotron diffraction provided evidence of stress-induced martensitic transformation in the conditions reported here; deformation was instead accommodated largely by conventional dislocation slip. The composition appeared reasonable from a strengthening and literature perspective, and the rationale attached to it (Sec. 1) is coherent on its own terms. What that rationale did not contain, and what nothing later in the workflow supplied, was a check that the parent phase it specified could be produced by any treatment within the 1200 °C ceiling of Sec. 2.2. That is the limitation this study documents. It is a limitation of the workflow as it was run — a composition-level rationale carried to the furnace without a phase-stability and processing-window check — and not a demonstrated limit on what an LLM can propose, which one candidate cannot decide.</w:t>
      </w:r>
    </w:p>
    <w:p>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w:t>
      </w:r>
      <w:r>
        <w:t xml:space="preserve"> </w:t>
      </w:r>
      <w:r>
        <w:rPr>
          <w:i/>
          <w:iCs/>
        </w:rPr>
        <w:t xml:space="preserve">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On the calculation, the LLM-alloy fails the first, and would fail the second even if the first were satisfied. Neither question requires proprietary software or measured data on the candidate itself. What makes this more than a general caution is that the report itself named the missing step. Its recommendations call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w:t>
      </w:r>
      <w:r>
        <w:t xml:space="preserve">—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pPr>
        <w:pStyle w:val="BodyText"/>
      </w:pPr>
      <w:r>
        <w:t xml:space="preserve">The scope of what a single experiment can support should be stated plainly. One composition, drawn from one agent’s proposal in one session and processed by one route, is a case study of that composition: it is not an experimental test of Hypothesis A2 as a whole, whose range the melt leaves in manganese and aluminum (Sec. 2.1), and still less an evaluation of AI-assisted alloy design as a practice. Nothing here establishes a failure rate, and a different prompt, a different agent, or a different processing window might well have produced a different outcome; the experimental claims of this paper are bounded accordingly. A second session, given the processing ceiling and asked to screen its own candidates against it, was not run. It would answer a different question from the one this paper asks: a candidate that passes an equilibrium screen has met a necessary condition, not shown that it transforms — the D0₃ that formed here is not an equilibrium prediction either (Sec. 4.1) — so that question would be answered only once such a candidate is melted and tested, which is a further study. Three specific tests remain open, and are named here rather than left implicit. A solution-and-aging window optimized for this composition, rather than inherited from the benchmark, would establish whether any accessible treatment can produce a transforming state — the route used here was biased in the LLM-alloy’s favor (Sec. 4.1) but was not optimized for it. An in-situ or loading-stage diffraction measurement would observe the material under load instead of after unloading, closing the one gap that ex-situ patterns cannot (Sec. 3.3). And the carbon-free heat of Sec. 4.2 remains the direct experimental form of the control that was performed here in silico. None of the three would change the calculated absence of a single-phase α field below the alloy’s melting point, which is a property of the composition rather than of the treatment; but each bounds a different part of the claim, and the paper does not assert what they would show. A fourth test bears on the interpretation of Sec. 4.1 rather than on the calculation: differential scanning calorimetry of the strand-annealed wire, with the benchmark as the control, would establish whether a transformation event occurs on heating or on cooling within the range scanned, which is the point on which the two readings of Sec. 4.1 differ; it would not by itself assign an event to α → γ or quantify the γ formed. It has not been performed. Likewise, the loading–unloading–heating protocol of</w:t>
      </w:r>
      <w:r>
        <w:t xml:space="preserve"> </w:t>
      </w:r>
      <w:r>
        <w:rPr>
          <w:b/>
          <w:bCs/>
        </w:rPr>
        <w:t xml:space="preserve">Fig. 3</w:t>
      </w:r>
      <w:r>
        <w:t xml:space="preserve"> </w:t>
      </w:r>
      <w:r>
        <w:t xml:space="preserve">has not been applied to the cyclically treated 0.36 mm wire (Sec. 3.5); the unloading records of</w:t>
      </w:r>
      <w:r>
        <w:t xml:space="preserve"> </w:t>
      </w:r>
      <w:r>
        <w:rPr>
          <w:b/>
          <w:bCs/>
        </w:rPr>
        <w:t xml:space="preserve">Fig. 10</w:t>
      </w:r>
      <w:r>
        <w:t xml:space="preserve"> </w:t>
      </w:r>
      <w:r>
        <w:t xml:space="preserve">bound what that test could show but do not replace it. What generalizes is narrower, and we think more useful. The calculated failure mode was not exotic or specific to this composition — a phase field lying in the wrong place relative to the temperatures at which the alloy can be annealed — and it was identifiable before melting by a calculation requiring no proprietary software and no measurement on the candidate itself. A design workflow that terminates in a plausible narrative cannot catch that; one that terminates in a verified calculation can. That claim rests on the calculation rather than on the sample size, and it is the claim we make.</w:t>
      </w:r>
    </w:p>
    <w:p>
      <w:pPr>
        <w:pStyle w:val="BodyText"/>
      </w:pPr>
      <w:r>
        <w:t xml:space="preserve">What is claimed here can then be listed, together with what is not. First, this is one of very few LLM-hypothesized shape-memory compositions reported as carried physically from proposal through melting, processing and heat treatment to mechanical and synchrotron characterization; Sec. 1 gives the reason such tests are rare and published failures rarer. Second, the failure has a calculated explanation with a control. At the solution-treatment temperature the measured chemistry is calculated to be duplex α + γ in three independent databases, the same chemistry with carbon removed is single-phase α in all three, and the benchmark’s single-phase field is reproduced without fitting in the two databases able to carry it (Table 3, Fig. 9a); the duplex constitution the calculation predicts is the one observed in its phases, though not in its majority phase (Secs. 3.1, 3.3 and 4.1). The calculated condition is therefore documented rather than surmised: a required phase field lying in the wrong place relative to the processing window, at a carbon content inside the range the hypothesis permitted — 0.1–0.3 wt%, as the alternative to boron, with the melt at the minimum (Sec. 2.1); whether that condition is the operative cause of the null result is the question left open in Sec. 4.1. Third, the record shows where the workflow stopped: the report recommended a CALPHAD check and the melt proceeded without one. What is not claimed as new is the check itself. Screening a candidate composition against its intended processing window by equilibrium calculation is an established step in conventional alloy design</w:t>
      </w:r>
      <w:r>
        <w:t xml:space="preserve"> </w:t>
      </w:r>
      <w:r>
        <w:t xml:space="preserve">(Ref 26)</w:t>
      </w:r>
      <w:r>
        <w:t xml:space="preserve">, and the report’s own recommendation shows the agent treated it as one. The finding is that an LLM-assisted workflow omitted that established step, and that the step would have flagged this composition before melting, from the nominal composition and the processing ceiling alone (Sec. 3.4).</w:t>
      </w:r>
    </w:p>
    <w:p>
      <w:pPr>
        <w:pStyle w:val="BodyText"/>
      </w:pPr>
      <w:r>
        <w:t xml:space="preserve">It is also worth saying what a negative result of this kind is good for, since such results are rarely published in this area. A single documented failure with a calculated explanation does more to constrain the design space than a comparable number of untested proposals: it converts</w:t>
      </w:r>
      <w:r>
        <w:t xml:space="preserve"> </w:t>
      </w:r>
      <w:r>
        <w:t xml:space="preserve">“this family of compositions may or may not work”</w:t>
      </w:r>
      <w:r>
        <w:t xml:space="preserve"> </w:t>
      </w:r>
      <w:r>
        <w:t xml:space="preserve">into</w:t>
      </w:r>
      <w:r>
        <w:t xml:space="preserve"> </w:t>
      </w:r>
      <w:r>
        <w:t xml:space="preserve">“compositions in this family whose single-phase α field lies above the practical annealing limit cannot be given the benchmark’s solution treatment, and here is how to check in advance.”</w:t>
      </w:r>
      <w:r>
        <w:t xml:space="preserve"> </w:t>
      </w:r>
      <w:r>
        <w:t xml:space="preserve">The value is in the check being transferable even though the specific alloy is not.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not as a failure of AI itself, nor as a measure of what current models can or cannot capture, but as a documented instance of a design workflow that stopped one calculation short of the check its own output recommended.</w:t>
      </w:r>
    </w:p>
    <w:p>
      <w:r>
        <w:pict>
          <v:rect style="width:0;height:1.5pt" o:hralign="center" o:hrstd="t" o:hr="t"/>
        </w:pict>
      </w:r>
    </w:p>
    <w:bookmarkEnd w:id="27"/>
    <w:bookmarkEnd w:id="28"/>
    <w:bookmarkStart w:id="29" w:name="conclusions"/>
    <w:p>
      <w:pPr>
        <w:pStyle w:val="Heading1"/>
      </w:pPr>
      <w:r>
        <w:t xml:space="preserve">5. Conclusions</w:t>
      </w:r>
    </w:p>
    <w:p>
      <w:pPr>
        <w:pStyle w:val="FirstParagraph"/>
      </w:pPr>
      <w:r>
        <w:t xml:space="preserve">An AI-guided deep-research workflow was used to design a low-cost Fe-Mn-Al-based alloy targeting room-temperature super-elasticity. One composition drawn from the agent’s proposal was synthesized and compared with the benchmark Fe-Mn-Al-Ni alloy reported by Omori</w:t>
      </w:r>
      <w:r>
        <w:t xml:space="preserve"> </w:t>
      </w:r>
      <w:r>
        <w:rPr>
          <w:i/>
          <w:iCs/>
        </w:rPr>
        <w:t xml:space="preserve">et al.</w:t>
      </w:r>
      <w:r>
        <w:t xml:space="preserve"> </w:t>
      </w:r>
      <w:r>
        <w:t xml:space="preserve">under the same nominal processing route; it lies inside the proposed range in Si, Ni and C and outside it in Mn and Al, on the austenite-favoring side (Sec. 2.1).</w:t>
      </w:r>
    </w:p>
    <w:p>
      <w:pPr>
        <w:pStyle w:val="BodyText"/>
      </w:pPr>
      <w:r>
        <w:rPr>
          <w:i/>
          <w:iCs/>
        </w:rPr>
        <w:t xml:space="preserve">Measured.</w:t>
      </w:r>
      <w:r>
        <w:t xml:space="preserve"> </w:t>
      </w:r>
      <w:r>
        <w:t xml:space="preserve">Across seven anneal temperatures its 0.2% proof stress fell from 1908 to 519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heating. Synchrotron diffraction, by a grain-statistics-limited Rietveld refinement, found the LLM-alloy, quenched from 1200 °C, to be a γ-majority duplex (≈62% FCC γ, ≈34% BCC α) carrying a minor ordered D0₃ Fe₃Al phase (≈4%), with a pattern unchanged by 10% strain, whereas the benchmark’s diffracted intensities changed markedly with deformation.</w:t>
      </w:r>
    </w:p>
    <w:p>
      <w:pPr>
        <w:pStyle w:val="BodyText"/>
      </w:pPr>
      <w:r>
        <w:rPr>
          <w:i/>
          <w:iCs/>
        </w:rPr>
        <w:t xml:space="preserve">Interpreted from these measurements.</w:t>
      </w:r>
      <w:r>
        <w:t xml:space="preserve"> </w:t>
      </w:r>
      <w:r>
        <w:t xml:space="preserve">The LLM-alloy, in the conditions reported, accommodates deformation by dislocation slip rather than stress-induced martensitic transformation, and after quenching the α parent that the transformation requires is the minority constituent.</w:t>
      </w:r>
    </w:p>
    <w:p>
      <w:pPr>
        <w:pStyle w:val="BodyText"/>
      </w:pPr>
      <w:r>
        <w:rPr>
          <w:i/>
          <w:iCs/>
        </w:rPr>
        <w:t xml:space="preserve">Calculated.</w:t>
      </w:r>
      <w:r>
        <w:t xml:space="preserve"> </w:t>
      </w:r>
      <w:r>
        <w:t xml:space="preserve">Equilibrium CALPHAD calculations were performed with three independent open databases, two of which reproduce the benchmark alloy’s single-phase α field without fitting. The benchmark solution-treats to single-phase α at 1200 °C and orders on cooling below ≈1090 °C (≈20% ordered bcc at equilibrium), providing the driving force for the B2 ordering its route exploits. The LLM-alloy does neither: at 1200 °C it is a two-phase α + γ mixture, and it begins to melt — at ≈1240–1295 °C depending on the database — before any single-phase α field opens. Removing carbon alone from the measured chemistry, with every other element held fixed, opens that field at ≈1130–1160 °C and restores the single-phase state at 1200 °C in all three databases. On this calculation a carbon addition of ≈0.10 wt%, the smallest of the five alloying changes that distinguish the two alloys, is sufficient to close the solution-treatment window on which the benchmark’s route depends. Compositions inside the proposed range fare no better on the calculation: the carbon-bearing compositions sampled inside the range — its midpoint and its most ferrite- and austenite-favoring corners — reach no single-phase disordered α at 1200 °C in either database able to evaluate them, and the proposal permitted carbon at 0.1–0.3 wt%, as the alternative to boron, with the melt at the carbon minimum; the boron option was not evaluated (Sec. 3.4).</w:t>
      </w:r>
    </w:p>
    <w:p>
      <w:pPr>
        <w:pStyle w:val="BodyText"/>
      </w:pPr>
      <w:r>
        <w:rPr>
          <w:i/>
          <w:iCs/>
        </w:rPr>
        <w:t xml:space="preserve">Open.</w:t>
      </w:r>
      <w:r>
        <w:t xml:space="preserve"> </w:t>
      </w:r>
      <w:r>
        <w:t xml:space="preserve">The calculated and measured constitutions agree that the alloy is duplex but not on which phase dominates: α is calculated to be the majority at 1200 °C (62–71%), γ is the majority after the quench (≈62%). Whether the γ excess was present at 1200 °C — because the databases overestimate α or because the wire was not carried to equilibrium in the anneal — or formed from α on cooling is not decided by the present data (Sec. 4.1), and the two readings bear differently on the explanation offered here. The calculated absence of a single-phase α field is therefore offered as the explanation the calculations support, not as a measured mechanism; what does not depend on the reading is the measured absence of transformation in the conditions reported and the calculated absence, in all three databases, of any solid-state single-phase α field from which the benchmark’s route could begin.</w:t>
      </w:r>
    </w:p>
    <w:p>
      <w:pPr>
        <w:pStyle w:val="BodyText"/>
      </w:pPr>
      <w:r>
        <w:t xml:space="preserve">What these results show about the design workflow is specific. The agent produced a composition with a coherent rationale and a stated performance target, recommended that phase stability be checked by CALPHAD to guide experimental design (Sec. 4.4), and the melt proceeded without that check. The omitted calculation, run here on the measured chemistry and, in Sec. 3.4, on the nominal composition, would have flagged this composition before it was melted: at the 1200 °C ceiling of the process the alloy is calculated to be duplex rather than the single-phase α the route requires, in all three databases (Table 3). The limitation documented here is therefore one of the workflow as it was run — a composition-level rationale carried to the furnace without a processing-window check — and not a demonstrated limit on what an LLM can propose; one candidate cannot establish the latter, and this study does not claim it.</w:t>
      </w:r>
    </w:p>
    <w:p>
      <w:pPr>
        <w:pStyle w:val="BodyText"/>
      </w:pPr>
      <w:r>
        <w:t xml:space="preserve">Three limitations bound these conclusions. First, this is a single composition from a single agent session processed by a single route: the experimental findings are a case study of that composition, the proposed range is examined only by calculation, and the generalizable claim is the diagnostic one about pre-screening rather than any statement about how often such workflows fail. Second, the reasoning that produced the composition stopped short of the distinction on which, on the calculation, this case turns — not whether a phase is stable, but whether the temperature at which it becomes stable can be reached in the equipment available. The report recommended the calculation that resolves that distinction and did not perform it (Sec. 4.4); whether the request put to the agent asked for such a calculation cannot be established, because the verbatim prompt was not preserved (Sec. 2.1); and whether a request that supplied the processing ceiling would have produced a candidate that both passes the screen and transforms was not tested here (Sec. 4.4). Third, whether a different processing window could unlock transformation in this composition is untested here, and casting the carbon-free variant identified in Sec. 4.2 remains the direct experiment that the in-silico control stands in for; the cyclically treated wire has not been given the loading–unloading–heating test, and the transformation temperatures of the alloy have not been measured (Sec. 4.4). Within those bounds, this work shows the value of testing AI-generated hypotheses experimentally and suggests that future models incorporating kinetic effects, phase transformations, and processing history may become powerful tools for accelerated alloy discovery.</w:t>
      </w:r>
    </w:p>
    <w:p>
      <w:r>
        <w:pict>
          <v:rect style="width:0;height:1.5pt" o:hralign="center" o:hrstd="t" o:hr="t"/>
        </w:pict>
      </w:r>
    </w:p>
    <w:bookmarkEnd w:id="29"/>
    <w:bookmarkStart w:id="30"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30"/>
    <w:bookmarkStart w:id="31"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The authors have no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with its database, composition, phase set and grid.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raw phase-fraction output and Gibbs-energy arbitration logs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31"/>
    <w:bookmarkStart w:id="106" w:name="references"/>
    <w:p>
      <w:pPr>
        <w:pStyle w:val="Heading1"/>
      </w:pPr>
      <w:r>
        <w:t xml:space="preserve">References</w:t>
      </w:r>
    </w:p>
    <w:bookmarkStart w:id="105" w:name="refs"/>
    <w:bookmarkStart w:id="33"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2">
        <w:r>
          <w:rPr>
            <w:rStyle w:val="Hyperlink"/>
          </w:rPr>
          <w:t xml:space="preserve">https://doi.org/10.1038/s41586-023-06735-9</w:t>
        </w:r>
      </w:hyperlink>
    </w:p>
    <w:bookmarkEnd w:id="33"/>
    <w:bookmarkStart w:id="35"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4">
        <w:r>
          <w:rPr>
            <w:rStyle w:val="Hyperlink"/>
          </w:rPr>
          <w:t xml:space="preserve">https://doi.org/10.48550/arXiv.2507.06261</w:t>
        </w:r>
      </w:hyperlink>
    </w:p>
    <w:bookmarkEnd w:id="35"/>
    <w:bookmarkStart w:id="37"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6">
        <w:r>
          <w:rPr>
            <w:rStyle w:val="Hyperlink"/>
          </w:rPr>
          <w:t xml:space="preserve">https://doi.org/10.48550/arXiv.2506.12594</w:t>
        </w:r>
      </w:hyperlink>
    </w:p>
    <w:bookmarkEnd w:id="37"/>
    <w:bookmarkStart w:id="39"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8">
        <w:r>
          <w:rPr>
            <w:rStyle w:val="Hyperlink"/>
          </w:rPr>
          <w:t xml:space="preserve">https://doi.org/10.1016/j.actamat.2022.117751</w:t>
        </w:r>
      </w:hyperlink>
    </w:p>
    <w:bookmarkEnd w:id="39"/>
    <w:bookmarkStart w:id="41"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40">
        <w:r>
          <w:rPr>
            <w:rStyle w:val="Hyperlink"/>
          </w:rPr>
          <w:t xml:space="preserve">https://doi.org/10.1002/adfm.202527774</w:t>
        </w:r>
      </w:hyperlink>
    </w:p>
    <w:bookmarkEnd w:id="41"/>
    <w:bookmarkStart w:id="43"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2">
        <w:r>
          <w:rPr>
            <w:rStyle w:val="Hyperlink"/>
          </w:rPr>
          <w:t xml:space="preserve">https://doi.org/10.1016/j.actamat.2025.121307</w:t>
        </w:r>
      </w:hyperlink>
    </w:p>
    <w:bookmarkEnd w:id="43"/>
    <w:bookmarkStart w:id="45"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4">
        <w:r>
          <w:rPr>
            <w:rStyle w:val="Hyperlink"/>
          </w:rPr>
          <w:t xml:space="preserve">https://doi.org/10.1016/j.pmatsci.2004.10.001</w:t>
        </w:r>
      </w:hyperlink>
    </w:p>
    <w:bookmarkEnd w:id="45"/>
    <w:bookmarkStart w:id="47"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6">
        <w:r>
          <w:rPr>
            <w:rStyle w:val="Hyperlink"/>
          </w:rPr>
          <w:t xml:space="preserve">https://doi.org/10.1007/978-0-387-47685-8</w:t>
        </w:r>
      </w:hyperlink>
    </w:p>
    <w:bookmarkEnd w:id="47"/>
    <w:bookmarkStart w:id="49"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8">
        <w:r>
          <w:rPr>
            <w:rStyle w:val="Hyperlink"/>
          </w:rPr>
          <w:t xml:space="preserve">https://doi.org/10.1016/S0921-5093(99)00294-4</w:t>
        </w:r>
      </w:hyperlink>
    </w:p>
    <w:bookmarkEnd w:id="49"/>
    <w:bookmarkStart w:id="51"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50">
        <w:r>
          <w:rPr>
            <w:rStyle w:val="Hyperlink"/>
          </w:rPr>
          <w:t xml:space="preserve">https://doi.org/10.1016/j.matdes.2013.11.084</w:t>
        </w:r>
      </w:hyperlink>
    </w:p>
    <w:bookmarkEnd w:id="51"/>
    <w:bookmarkStart w:id="53"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2">
        <w:r>
          <w:rPr>
            <w:rStyle w:val="Hyperlink"/>
          </w:rPr>
          <w:t xml:space="preserve">https://doi.org/10.1016/j.conbuildmat.2014.04.032</w:t>
        </w:r>
      </w:hyperlink>
    </w:p>
    <w:bookmarkEnd w:id="53"/>
    <w:bookmarkStart w:id="55"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4">
        <w:r>
          <w:rPr>
            <w:rStyle w:val="Hyperlink"/>
          </w:rPr>
          <w:t xml:space="preserve">https://doi.org/10.1126/science.1202232</w:t>
        </w:r>
      </w:hyperlink>
    </w:p>
    <w:bookmarkEnd w:id="55"/>
    <w:bookmarkStart w:id="57"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6">
        <w:r>
          <w:rPr>
            <w:rStyle w:val="Hyperlink"/>
          </w:rPr>
          <w:t xml:space="preserve">https://doi.org/10.1016/j.scriptamat.2015.12.007</w:t>
        </w:r>
      </w:hyperlink>
    </w:p>
    <w:bookmarkEnd w:id="57"/>
    <w:bookmarkStart w:id="59"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8">
        <w:r>
          <w:rPr>
            <w:rStyle w:val="Hyperlink"/>
          </w:rPr>
          <w:t xml:space="preserve">https://doi.org/10.1007/s40830-019-00230-9</w:t>
        </w:r>
      </w:hyperlink>
    </w:p>
    <w:bookmarkEnd w:id="59"/>
    <w:bookmarkStart w:id="61" w:name="ref-omori2017martensitic"/>
    <w:p>
      <w:pPr>
        <w:pStyle w:val="Bibliography"/>
      </w:pPr>
      <w:r>
        <w:t xml:space="preserve">15.</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rahnama2017acta"/>
    <w:p>
      <w:pPr>
        <w:pStyle w:val="Bibliography"/>
      </w:pPr>
      <w:r>
        <w:t xml:space="preserve">16.</w:t>
      </w:r>
      <w:r>
        <w:t xml:space="preserve"> </w:t>
      </w:r>
      <w:r>
        <w:t xml:space="preserve">	</w:t>
      </w:r>
      <w:r>
        <w:t xml:space="preserve">A. Rahnama, H. Kotadia, and S. Sridhar, Effect of</w:t>
      </w:r>
      <w:r>
        <w:t xml:space="preserve"> </w:t>
      </w:r>
      <w:r>
        <w:t xml:space="preserve">Ni</w:t>
      </w:r>
      <w:r>
        <w:t xml:space="preserve"> </w:t>
      </w:r>
      <w:r>
        <w:t xml:space="preserve">Alloying on the Microstructural Evolution and Mechanical Properties of Two Duplex Light-Weight Steels During Different Annealing Temperatures: Experiment and Phase-Field Simulation,</w:t>
      </w:r>
      <w:r>
        <w:t xml:space="preserve"> </w:t>
      </w:r>
      <w:r>
        <w:rPr>
          <w:i/>
          <w:iCs/>
        </w:rPr>
        <w:t xml:space="preserve">Acta Mater.</w:t>
      </w:r>
      <w:r>
        <w:t xml:space="preserve">, 2017,</w:t>
      </w:r>
      <w:r>
        <w:t xml:space="preserve"> </w:t>
      </w:r>
      <w:r>
        <w:rPr>
          <w:b/>
          <w:bCs/>
        </w:rPr>
        <w:t xml:space="preserve">132</w:t>
      </w:r>
      <w:r>
        <w:t xml:space="preserve">, p 627–643.</w:t>
      </w:r>
      <w:r>
        <w:t xml:space="preserve"> </w:t>
      </w:r>
      <w:hyperlink r:id="rId62">
        <w:r>
          <w:rPr>
            <w:rStyle w:val="Hyperlink"/>
          </w:rPr>
          <w:t xml:space="preserve">https://doi.org/10.1016/j.actamat.2017.03.043</w:t>
        </w:r>
      </w:hyperlink>
    </w:p>
    <w:bookmarkEnd w:id="63"/>
    <w:bookmarkStart w:id="65" w:name="ref-saha2022jom"/>
    <w:p>
      <w:pPr>
        <w:pStyle w:val="Bibliography"/>
      </w:pPr>
      <w:r>
        <w:t xml:space="preserve">17.</w:t>
      </w:r>
      <w:r>
        <w:t xml:space="preserve"> </w:t>
      </w:r>
      <w:r>
        <w:t xml:space="preserve">	</w:t>
      </w:r>
      <w:r>
        <w:t xml:space="preserve">M. Saha, M.B. Ponnuchamy, M. Sadhasivam, C. Mahata, G. Vijayaragavan, K. Gururaj, K. Suresh, N. Chandrasekaran, D. Prabhu, K. Kumbhar, and K.G. Pradeep, Revealing the Localization of</w:t>
      </w:r>
      <w:r>
        <w:t xml:space="preserve"> </w:t>
      </w:r>
      <w:r>
        <w:t xml:space="preserve">NiAl</w:t>
      </w:r>
      <w:r>
        <w:t xml:space="preserve">-Type Nano-Scale</w:t>
      </w:r>
      <w:r>
        <w:t xml:space="preserve"> </w:t>
      </w:r>
      <w:r>
        <w:t xml:space="preserve">B2</w:t>
      </w:r>
      <w:r>
        <w:t xml:space="preserve"> </w:t>
      </w:r>
      <w:r>
        <w:t xml:space="preserve">Precipitates Within the</w:t>
      </w:r>
      <w:r>
        <w:t xml:space="preserve"> </w:t>
      </w:r>
      <w:r>
        <w:t xml:space="preserve">BCC</w:t>
      </w:r>
      <w:r>
        <w:t xml:space="preserve"> </w:t>
      </w:r>
      <w:r>
        <w:t xml:space="preserve">Phase of</w:t>
      </w:r>
      <w:r>
        <w:t xml:space="preserve"> </w:t>
      </w:r>
      <w:r>
        <w:t xml:space="preserve">Ni</w:t>
      </w:r>
      <w:r>
        <w:t xml:space="preserve">-Alloyed Low-Density</w:t>
      </w:r>
      <w:r>
        <w:t xml:space="preserve"> </w:t>
      </w:r>
      <w:r>
        <w:t xml:space="preserve">FeMnAlC</w:t>
      </w:r>
      <w:r>
        <w:t xml:space="preserve"> </w:t>
      </w:r>
      <w:r>
        <w:t xml:space="preserve">Steel,</w:t>
      </w:r>
      <w:r>
        <w:t xml:space="preserve"> </w:t>
      </w:r>
      <w:r>
        <w:rPr>
          <w:i/>
          <w:iCs/>
        </w:rPr>
        <w:t xml:space="preserve">JOM</w:t>
      </w:r>
      <w:r>
        <w:t xml:space="preserve">, 2022,</w:t>
      </w:r>
      <w:r>
        <w:t xml:space="preserve"> </w:t>
      </w:r>
      <w:r>
        <w:rPr>
          <w:b/>
          <w:bCs/>
        </w:rPr>
        <w:t xml:space="preserve">74</w:t>
      </w:r>
      <w:r>
        <w:t xml:space="preserve">(8), p 3181–3190.</w:t>
      </w:r>
      <w:r>
        <w:t xml:space="preserve"> </w:t>
      </w:r>
      <w:hyperlink r:id="rId64">
        <w:r>
          <w:rPr>
            <w:rStyle w:val="Hyperlink"/>
          </w:rPr>
          <w:t xml:space="preserve">https://doi.org/10.1007/s11837-022-05349-2</w:t>
        </w:r>
      </w:hyperlink>
    </w:p>
    <w:bookmarkEnd w:id="65"/>
    <w:bookmarkStart w:id="67" w:name="ref-omori2016agg"/>
    <w:p>
      <w:pPr>
        <w:pStyle w:val="Bibliography"/>
      </w:pPr>
      <w:r>
        <w:t xml:space="preserve">18.</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6">
        <w:r>
          <w:rPr>
            <w:rStyle w:val="Hyperlink"/>
          </w:rPr>
          <w:t xml:space="preserve">https://doi.org/10.1016/j.matdes.2016.04.011</w:t>
        </w:r>
      </w:hyperlink>
    </w:p>
    <w:bookmarkEnd w:id="67"/>
    <w:bookmarkStart w:id="69" w:name="ref-viebranz2024agg"/>
    <w:p>
      <w:pPr>
        <w:pStyle w:val="Bibliography"/>
      </w:pPr>
      <w:r>
        <w:t xml:space="preserve">19.</w:t>
      </w:r>
      <w:r>
        <w:t xml:space="preserve"> </w:t>
      </w:r>
      <w:r>
        <w:t xml:space="preserve">	</w:t>
      </w:r>
      <w:r>
        <w:t xml:space="preserve">V.F. Viebranz, A. Bauer, T. Hassel, T. Niendorf, and H.J. Maier, Abnormal Grain Growth and Pseudoelasticity of Industrially Processed</w:t>
      </w:r>
      <w:r>
        <w:t xml:space="preserve"> </w:t>
      </w:r>
      <w:r>
        <w:t xml:space="preserve">Fe–Mn–Al–Ni</w:t>
      </w:r>
      <w:r>
        <w:t xml:space="preserve"> </w:t>
      </w:r>
      <w:r>
        <w:t xml:space="preserve">Shape Memory Alloy Joined by Metal Inert Gas Welding,</w:t>
      </w:r>
      <w:r>
        <w:t xml:space="preserve"> </w:t>
      </w:r>
      <w:r>
        <w:rPr>
          <w:i/>
          <w:iCs/>
        </w:rPr>
        <w:t xml:space="preserve">Metall. Mater. Trans. A</w:t>
      </w:r>
      <w:r>
        <w:t xml:space="preserve">, 2024,</w:t>
      </w:r>
      <w:r>
        <w:t xml:space="preserve"> </w:t>
      </w:r>
      <w:r>
        <w:rPr>
          <w:b/>
          <w:bCs/>
        </w:rPr>
        <w:t xml:space="preserve">55</w:t>
      </w:r>
      <w:r>
        <w:t xml:space="preserve">(4), p 1065–1080.</w:t>
      </w:r>
      <w:r>
        <w:t xml:space="preserve"> </w:t>
      </w:r>
      <w:hyperlink r:id="rId68">
        <w:r>
          <w:rPr>
            <w:rStyle w:val="Hyperlink"/>
          </w:rPr>
          <w:t xml:space="preserve">https://doi.org/10.1007/s11661-024-07304-z</w:t>
        </w:r>
      </w:hyperlink>
    </w:p>
    <w:bookmarkEnd w:id="69"/>
    <w:bookmarkStart w:id="71" w:name="ref-cai2024niticu"/>
    <w:p>
      <w:pPr>
        <w:pStyle w:val="Bibliography"/>
      </w:pPr>
      <w:r>
        <w:t xml:space="preserve">20.</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70">
        <w:r>
          <w:rPr>
            <w:rStyle w:val="Hyperlink"/>
          </w:rPr>
          <w:t xml:space="preserve">https://doi.org/10.1007/s40830-024-00504-x</w:t>
        </w:r>
      </w:hyperlink>
    </w:p>
    <w:bookmarkEnd w:id="71"/>
    <w:bookmarkStart w:id="73" w:name="ref-tai2024ssrf"/>
    <w:p>
      <w:pPr>
        <w:pStyle w:val="Bibliography"/>
      </w:pPr>
      <w:r>
        <w:t xml:space="preserve">21.</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72">
        <w:r>
          <w:rPr>
            <w:rStyle w:val="Hyperlink"/>
          </w:rPr>
          <w:t xml:space="preserve">https://doi.org/10.1007/s41365-024-01487-1</w:t>
        </w:r>
      </w:hyperlink>
    </w:p>
    <w:bookmarkEnd w:id="73"/>
    <w:bookmarkStart w:id="75" w:name="ref-yang2024ssrf"/>
    <w:p>
      <w:pPr>
        <w:pStyle w:val="Bibliography"/>
      </w:pPr>
      <w:r>
        <w:t xml:space="preserve">22.</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4">
        <w:r>
          <w:rPr>
            <w:rStyle w:val="Hyperlink"/>
          </w:rPr>
          <w:t xml:space="preserve">https://doi.org/10.1007/s41365-024-01468-4</w:t>
        </w:r>
      </w:hyperlink>
    </w:p>
    <w:bookmarkEnd w:id="75"/>
    <w:bookmarkStart w:id="76" w:name="ref-hammersley1998fit2d"/>
    <w:p>
      <w:pPr>
        <w:pStyle w:val="Bibliography"/>
      </w:pPr>
      <w:r>
        <w:t xml:space="preserve">23.</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6"/>
    <w:bookmarkStart w:id="78" w:name="ref-rietveld1969"/>
    <w:p>
      <w:pPr>
        <w:pStyle w:val="Bibliography"/>
      </w:pPr>
      <w:r>
        <w:t xml:space="preserve">24.</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7">
        <w:r>
          <w:rPr>
            <w:rStyle w:val="Hyperlink"/>
          </w:rPr>
          <w:t xml:space="preserve">https://doi.org/10.1107/S0021889869006558</w:t>
        </w:r>
      </w:hyperlink>
    </w:p>
    <w:bookmarkEnd w:id="78"/>
    <w:bookmarkStart w:id="80" w:name="ref-lutterotti1997maud"/>
    <w:p>
      <w:pPr>
        <w:pStyle w:val="Bibliography"/>
      </w:pPr>
      <w:r>
        <w:t xml:space="preserve">25.</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79">
        <w:r>
          <w:rPr>
            <w:rStyle w:val="Hyperlink"/>
          </w:rPr>
          <w:t xml:space="preserve">https://doi.org/10.1063/1.364220</w:t>
        </w:r>
      </w:hyperlink>
    </w:p>
    <w:bookmarkEnd w:id="80"/>
    <w:bookmarkStart w:id="82" w:name="ref-lukas2007calphad"/>
    <w:p>
      <w:pPr>
        <w:pStyle w:val="Bibliography"/>
      </w:pPr>
      <w:r>
        <w:t xml:space="preserve">26.</w:t>
      </w:r>
      <w:r>
        <w:t xml:space="preserve"> </w:t>
      </w:r>
      <w:r>
        <w:t xml:space="preserve">	</w:t>
      </w:r>
      <w:r>
        <w:t xml:space="preserve">H.L. Lukas, S.G. Fries, and B. Sundman, Computational Thermodynamics: The Calphad Method, Cambridge University Press, 2007.</w:t>
      </w:r>
      <w:r>
        <w:t xml:space="preserve"> </w:t>
      </w:r>
      <w:hyperlink r:id="rId81">
        <w:r>
          <w:rPr>
            <w:rStyle w:val="Hyperlink"/>
          </w:rPr>
          <w:t xml:space="preserve">https://doi.org/10.1017/CBO9780511804137</w:t>
        </w:r>
      </w:hyperlink>
    </w:p>
    <w:bookmarkEnd w:id="82"/>
    <w:bookmarkStart w:id="84" w:name="ref-otis2017pycalphad"/>
    <w:p>
      <w:pPr>
        <w:pStyle w:val="Bibliography"/>
      </w:pPr>
      <w:r>
        <w:t xml:space="preserve">27.</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83">
        <w:r>
          <w:rPr>
            <w:rStyle w:val="Hyperlink"/>
          </w:rPr>
          <w:t xml:space="preserve">https://doi.org/10.5334/jors.140</w:t>
        </w:r>
      </w:hyperlink>
    </w:p>
    <w:bookmarkEnd w:id="84"/>
    <w:bookmarkStart w:id="86" w:name="ref-hallstedt2017mpea"/>
    <w:p>
      <w:pPr>
        <w:pStyle w:val="Bibliography"/>
      </w:pPr>
      <w:r>
        <w:t xml:space="preserve">28.</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5">
        <w:r>
          <w:rPr>
            <w:rStyle w:val="Hyperlink"/>
          </w:rPr>
          <w:t xml:space="preserve">https://github.com/pycalphad/binder/tree/develop/multicomponent-databases</w:t>
        </w:r>
      </w:hyperlink>
      <w:r>
        <w:t xml:space="preserve">. Accessed 28 September 2026</w:t>
      </w:r>
    </w:p>
    <w:bookmarkEnd w:id="86"/>
    <w:bookmarkStart w:id="88" w:name="ref-hallstedt2023mpea"/>
    <w:p>
      <w:pPr>
        <w:pStyle w:val="Bibliography"/>
      </w:pPr>
      <w:r>
        <w:t xml:space="preserve">29.</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7">
        <w:r>
          <w:rPr>
            <w:rStyle w:val="Hyperlink"/>
          </w:rPr>
          <w:t xml:space="preserve">https://doi.org/10.1016/j.calphad.2023.102644</w:t>
        </w:r>
      </w:hyperlink>
    </w:p>
    <w:bookmarkEnd w:id="88"/>
    <w:bookmarkStart w:id="90" w:name="ref-prechimn04"/>
    <w:p>
      <w:pPr>
        <w:pStyle w:val="Bibliography"/>
      </w:pPr>
      <w:r>
        <w:t xml:space="preserve">30.</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89">
        <w:r>
          <w:rPr>
            <w:rStyle w:val="Hyperlink"/>
          </w:rPr>
          <w:t xml:space="preserve">https://doi.org/10.1016/j.calphad.2016.11.006</w:t>
        </w:r>
      </w:hyperlink>
    </w:p>
    <w:bookmarkEnd w:id="90"/>
    <w:bookmarkStart w:id="92" w:name="ref-mcfe"/>
    <w:p>
      <w:pPr>
        <w:pStyle w:val="Bibliography"/>
      </w:pPr>
      <w:r>
        <w:t xml:space="preserve">31.</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91">
        <w:r>
          <w:rPr>
            <w:rStyle w:val="Hyperlink"/>
          </w:rPr>
          <w:t xml:space="preserve">https://www.matcalc.at/index.php/databases/open-databases</w:t>
        </w:r>
      </w:hyperlink>
      <w:r>
        <w:t xml:space="preserve">. Accessed 28 September 2026</w:t>
      </w:r>
    </w:p>
    <w:bookmarkEnd w:id="92"/>
    <w:bookmarkStart w:id="94" w:name="ref-tanaka2010science"/>
    <w:p>
      <w:pPr>
        <w:pStyle w:val="Bibliography"/>
      </w:pPr>
      <w:r>
        <w:t xml:space="preserve">32.</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93">
        <w:r>
          <w:rPr>
            <w:rStyle w:val="Hyperlink"/>
          </w:rPr>
          <w:t xml:space="preserve">https://doi.org/10.1126/science.1183169</w:t>
        </w:r>
      </w:hyperlink>
    </w:p>
    <w:bookmarkEnd w:id="94"/>
    <w:bookmarkStart w:id="96" w:name="ref-vollmer2019natcomm"/>
    <w:p>
      <w:pPr>
        <w:pStyle w:val="Bibliography"/>
      </w:pPr>
      <w:r>
        <w:t xml:space="preserve">33.</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5">
        <w:r>
          <w:rPr>
            <w:rStyle w:val="Hyperlink"/>
          </w:rPr>
          <w:t xml:space="preserve">https://doi.org/10.1038/s41467-019-10308-8</w:t>
        </w:r>
      </w:hyperlink>
    </w:p>
    <w:bookmarkEnd w:id="96"/>
    <w:bookmarkStart w:id="97" w:name="ref-engler2010texture"/>
    <w:p>
      <w:pPr>
        <w:pStyle w:val="Bibliography"/>
      </w:pPr>
      <w:r>
        <w:t xml:space="preserve">34.</w:t>
      </w:r>
      <w:r>
        <w:t xml:space="preserve"> </w:t>
      </w:r>
      <w:r>
        <w:t xml:space="preserve">	</w:t>
      </w:r>
      <w:r>
        <w:t xml:space="preserve">O. Engler and V. Randle, Introduction to Texture Analysis: Macrotexture, Microtexture, and Orientation Mapping, 2nd ed., CRC Press, 2010.</w:t>
      </w:r>
    </w:p>
    <w:bookmarkEnd w:id="97"/>
    <w:bookmarkStart w:id="99" w:name="ref-omori2012apl"/>
    <w:p>
      <w:pPr>
        <w:pStyle w:val="Bibliography"/>
      </w:pPr>
      <w:r>
        <w:t xml:space="preserve">35.</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98">
        <w:r>
          <w:rPr>
            <w:rStyle w:val="Hyperlink"/>
          </w:rPr>
          <w:t xml:space="preserve">https://doi.org/10.1063/1.4769375</w:t>
        </w:r>
      </w:hyperlink>
    </w:p>
    <w:bookmarkEnd w:id="99"/>
    <w:bookmarkStart w:id="100" w:name="ref-bhadeshia2010steels"/>
    <w:p>
      <w:pPr>
        <w:pStyle w:val="Bibliography"/>
      </w:pPr>
      <w:r>
        <w:t xml:space="preserve">36.</w:t>
      </w:r>
      <w:r>
        <w:t xml:space="preserve"> </w:t>
      </w:r>
      <w:r>
        <w:t xml:space="preserve">	</w:t>
      </w:r>
      <w:r>
        <w:t xml:space="preserve">H.K.D.H. Bhadeshia and R.W.K. Honeycombe, Steels: Microstructure and Properties, 4th ed., Elsevier Butterworth-Heinemann, 2017.</w:t>
      </w:r>
    </w:p>
    <w:bookmarkEnd w:id="100"/>
    <w:bookmarkStart w:id="102" w:name="ref-laroca2017jalcom"/>
    <w:p>
      <w:pPr>
        <w:pStyle w:val="Bibliography"/>
      </w:pPr>
      <w:r>
        <w:t xml:space="preserve">37.</w:t>
      </w:r>
      <w:r>
        <w:t xml:space="preserve"> </w:t>
      </w:r>
      <w:r>
        <w:t xml:space="preserve">	</w:t>
      </w:r>
      <w:r>
        <w:t xml:space="preserve">P. La Roca, A. Baruj, C.E. Sobrero, J.A. Malarría, and M. Sade, Nanoprecipitation Effects on Phase Stability of</w:t>
      </w:r>
      <w:r>
        <w:t xml:space="preserve"> </w:t>
      </w:r>
      <w:r>
        <w:t xml:space="preserve">Fe-Mn-Al-Ni</w:t>
      </w:r>
      <w:r>
        <w:t xml:space="preserve"> </w:t>
      </w:r>
      <w:r>
        <w:t xml:space="preserve">Alloys,</w:t>
      </w:r>
      <w:r>
        <w:t xml:space="preserve"> </w:t>
      </w:r>
      <w:r>
        <w:rPr>
          <w:i/>
          <w:iCs/>
        </w:rPr>
        <w:t xml:space="preserve">J. Alloys Compd.</w:t>
      </w:r>
      <w:r>
        <w:t xml:space="preserve">, 2017,</w:t>
      </w:r>
      <w:r>
        <w:t xml:space="preserve"> </w:t>
      </w:r>
      <w:r>
        <w:rPr>
          <w:b/>
          <w:bCs/>
        </w:rPr>
        <w:t xml:space="preserve">708</w:t>
      </w:r>
      <w:r>
        <w:t xml:space="preserve">, p 422–427.</w:t>
      </w:r>
      <w:r>
        <w:t xml:space="preserve"> </w:t>
      </w:r>
      <w:hyperlink r:id="rId101">
        <w:r>
          <w:rPr>
            <w:rStyle w:val="Hyperlink"/>
          </w:rPr>
          <w:t xml:space="preserve">https://doi.org/10.1016/j.jallcom.2017.02.280</w:t>
        </w:r>
      </w:hyperlink>
    </w:p>
    <w:bookmarkEnd w:id="102"/>
    <w:bookmarkStart w:id="104" w:name="ref-heo2012mmta"/>
    <w:p>
      <w:pPr>
        <w:pStyle w:val="Bibliography"/>
      </w:pPr>
      <w:r>
        <w:t xml:space="preserve">38.</w:t>
      </w:r>
      <w:r>
        <w:t xml:space="preserve"> </w:t>
      </w:r>
      <w:r>
        <w:t xml:space="preserve">	</w:t>
      </w:r>
      <w:r>
        <w:t xml:space="preserve">Y.-U. Heo, Y.-Y. Song, S.-J. Park, H.K.D.H. Bhadeshia, and D.-W. Suh, Influence of Silicon in Low Density</w:t>
      </w:r>
      <w:r>
        <w:t xml:space="preserve"> </w:t>
      </w:r>
      <w:r>
        <w:t xml:space="preserve">Fe-C-Mn-Al</w:t>
      </w:r>
      <w:r>
        <w:t xml:space="preserve"> </w:t>
      </w:r>
      <w:r>
        <w:t xml:space="preserve">Steel,</w:t>
      </w:r>
      <w:r>
        <w:t xml:space="preserve"> </w:t>
      </w:r>
      <w:r>
        <w:rPr>
          <w:i/>
          <w:iCs/>
        </w:rPr>
        <w:t xml:space="preserve">Metall. Mater. Trans. A</w:t>
      </w:r>
      <w:r>
        <w:t xml:space="preserve">, 2012,</w:t>
      </w:r>
      <w:r>
        <w:t xml:space="preserve"> </w:t>
      </w:r>
      <w:r>
        <w:rPr>
          <w:b/>
          <w:bCs/>
        </w:rPr>
        <w:t xml:space="preserve">43</w:t>
      </w:r>
      <w:r>
        <w:t xml:space="preserve">(6), p 1731–1735.</w:t>
      </w:r>
      <w:r>
        <w:t xml:space="preserve"> </w:t>
      </w:r>
      <w:hyperlink r:id="rId103">
        <w:r>
          <w:rPr>
            <w:rStyle w:val="Hyperlink"/>
          </w:rPr>
          <w:t xml:space="preserve">https://doi.org/10.1007/s11661-012-1149-x</w:t>
        </w:r>
      </w:hyperlink>
    </w:p>
    <w:bookmarkEnd w:id="104"/>
    <w:bookmarkEnd w:id="105"/>
    <w:bookmarkEnd w:id="106"/>
    <w:bookmarkStart w:id="107" w:name="figure-captions"/>
    <w:p>
      <w:pPr>
        <w:pStyle w:val="Heading1"/>
      </w:pPr>
      <w:r>
        <w:t xml:space="preserve">Figure Captions</w:t>
      </w:r>
    </w:p>
    <w:p>
      <w:pPr>
        <w:pStyle w:val="FirstParagraph"/>
      </w:pPr>
      <w:r>
        <w:rPr>
          <w:b/>
          <w:bCs/>
        </w:rPr>
        <w:t xml:space="preserve">Fig. 1.</w:t>
      </w:r>
      <w:r>
        <w:t xml:space="preserve"> </w:t>
      </w:r>
      <w:r>
        <w:t xml:space="preserve">Microstructure of the LLM-alloy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LLM-alloy after annealing for 1 minute at (a) 600, (b) 700, (c) 800, (d) 900, (e) 1000, (f) 1100 and (g) 1200 °C, and (h) at 1200 °C followed by the 200 °C/3 h age. Nominal wire diameter 0.36 mm; the plotted spools measured 0.348–0.359 mm. Stress is computed from the measured per-spool diameter and strain from crosshead extension over the 127 mm gauge (Sec. 2.4). Each panel shows a single representative specimen; the values in Table 2 are means of three specimens per condition. Curves are shown to 10% strain (2.5% for the two brittle conditions); elongations to failure are listed in Table 2.</w:t>
      </w:r>
    </w:p>
    <w:p>
      <w:pPr>
        <w:pStyle w:val="BodyText"/>
      </w:pPr>
      <w:r>
        <w:rPr>
          <w:b/>
          <w:bCs/>
        </w:rPr>
        <w:t xml:space="preserve">Fig. 3.</w:t>
      </w:r>
      <w:r>
        <w:t xml:space="preserve"> </w:t>
      </w:r>
      <w:r>
        <w:t xml:space="preserve">Loading–unloading–heating tests of (a) the LLM-alloy and (b) the benchmark alloy, both heat treated at 1200 °C for 1 minute. Wire diameters 0.35 mm (a) and 0.54 mm (b); strain is crosshead extension over the 127 mm gauge (Sec. 2.4). Black arrows show the deformation path; the red arrow highlights the strain recovery caused by heating.</w:t>
      </w:r>
    </w:p>
    <w:p>
      <w:pPr>
        <w:pStyle w:val="BodyText"/>
      </w:pPr>
      <w:r>
        <w:rPr>
          <w:b/>
          <w:bCs/>
        </w:rPr>
        <w:t xml:space="preserve">Fig. 4.</w:t>
      </w:r>
      <w:r>
        <w:t xml:space="preserve"> </w:t>
      </w:r>
      <w:r>
        <w:t xml:space="preserve">2D synchrotron X-ray diffraction images of (a) LLM-alloy annealed at 1200 °C for 1 min, (b) annealed LLM-alloy after 10% tensile strain, (c) benchmark alloy annealed at 1200 °C for 1 min, and (d) annealed benchmark alloy after 8% tensile strain.</w:t>
      </w:r>
    </w:p>
    <w:p>
      <w:pPr>
        <w:pStyle w:val="BodyText"/>
      </w:pPr>
      <w:r>
        <w:rPr>
          <w:b/>
          <w:bCs/>
        </w:rPr>
        <w:t xml:space="preserve">Fig. 5.</w:t>
      </w:r>
      <w:r>
        <w:t xml:space="preserve"> </w:t>
      </w:r>
      <w:r>
        <w:t xml:space="preserve">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not refined, at a = 3.6366 Å (γ) and 2.8865 Å (α) in both cases, and for D0₃ at 5.7734 Å in (a) and 5.7801 Å in (b), the two refinements having been set up with different D0₃ cells.</w:t>
      </w:r>
    </w:p>
    <w:p>
      <w:pPr>
        <w:pStyle w:val="BodyText"/>
      </w:pPr>
      <w:r>
        <w:rPr>
          <w:b/>
          <w:bCs/>
        </w:rPr>
        <w:t xml:space="preserve">Fig. 6.</w:t>
      </w:r>
      <w:r>
        <w:t xml:space="preserve"> </w:t>
      </w:r>
      <w:r>
        <w:t xml:space="preserve">Azimuthally integrated X-ray diffraction spectra of (a) the LLM-alloy and (b) the benchmark alloy before and after deformation. Samples were heat treated at 1200 °C for 1 minute before deformation to 10% (a) and 8% (b) strain.</w:t>
      </w:r>
    </w:p>
    <w:p>
      <w:pPr>
        <w:pStyle w:val="BodyText"/>
      </w:pPr>
      <w:r>
        <w:rPr>
          <w:b/>
          <w:bCs/>
        </w:rPr>
        <w:t xml:space="preserve">Fig. 7.</w:t>
      </w:r>
      <w:r>
        <w:t xml:space="preserve"> </w:t>
      </w:r>
      <w:r>
        <w:t xml:space="preserve">Inverse pole figures of the γ and α phases of the LLM-alloy along the wire axis, extracted from the E-WIMV orientation-distribution refinement of Sec. 2.5. The sample was heat treated at 1200 °C for 1 minute. Intensities are in multiples of a random distribution.</w:t>
      </w:r>
    </w:p>
    <w:p>
      <w:pPr>
        <w:pStyle w:val="BodyText"/>
      </w:pPr>
      <w:r>
        <w:rPr>
          <w:b/>
          <w:bCs/>
        </w:rPr>
        <w:t xml:space="preserve">Fig. 8.</w:t>
      </w:r>
      <w:r>
        <w:t xml:space="preserve"> </w:t>
      </w:r>
      <w:r>
        <w:t xml:space="preserve">Synchrotron X-ray diffraction image of the ≈1 mm LLM-alloy rod after the three-cycle 1200 ↔ 900 °C abnormal-grain-growth schedule of Sec. 2.2. The vertical direction from the beam center corresponds to the rod axis. The pattern contains the same γ, α and D0₃ reflections as Fig. 4a, with the ring intensity resolved into discrete spots.</w:t>
      </w:r>
    </w:p>
    <w:p>
      <w:pPr>
        <w:pStyle w:val="BodyText"/>
      </w:pPr>
      <w:r>
        <w:rPr>
          <w:b/>
          <w:bCs/>
        </w:rPr>
        <w:t xml:space="preserve">Fig. 9.</w:t>
      </w:r>
      <w:r>
        <w:t xml:space="preserve"> </w:t>
      </w:r>
      <w:r>
        <w:t xml:space="preserve">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gray curve is the liquid fraction. The dashed line marks the 1200 °C solution-treatment temperature: it lies inside the single-phase α field in (a) and (c), whereas in (b) no such field exists — the alloy is still α + γ at 1290 °C and passes to α + liquid at ≈1295 °C. The carbon-free control is also reported numerically in Tables 3 and 4.</w:t>
      </w:r>
    </w:p>
    <w:p>
      <w:pPr>
        <w:pStyle w:val="BodyText"/>
      </w:pPr>
      <w:r>
        <w:rPr>
          <w:b/>
          <w:bCs/>
        </w:rPr>
        <w:t xml:space="preserve">Fig. 10.</w:t>
      </w:r>
      <w:r>
        <w:t xml:space="preserve"> </w:t>
      </w:r>
      <w:r>
        <w:t xml:space="preserve">Cyclic tensile records of the LLM-alloy in the prolonged-anneal and cyclically heat-treated conditions, plotted from the raw load–extension exports, with stress from the measured diameter and strain from crosshead extension over the gauge length of that test, which differs between panels and is stated in each: (a) 0.36 mm wire, 1200 °C/40 min followed by the 200 °C/3 h age; (b) 0.36 mm wire, 1200 °C/80 min; (c) two ≈1.3 mm rod specimens after the two-cycle 1200 ↔ 900 °C schedule of Sec. 2.2; (d) ≈1.06 mm rod after the three-cycle schedule and the 200 °C/3 h age, 127 mm gauge; (e) a second specimen of the same condition tested on a 6.0 mm gauge; (f) 0.36 mm wire after the quartz-tube 1200 °C cycle, 25.4 mm gauge, shown to fracture at ≈26%. Loading followed the incremental protocol of Sec. 2.4. Strains on the 6.0 and 25.4 mm gauges are not comparable with those on the 127 mm gauge (Sec. 2.4).</w:t>
      </w:r>
    </w:p>
    <w:bookmarkEnd w:id="107"/>
    <w:bookmarkStart w:id="108" w:name="tables"/>
    <w:p>
      <w:pPr>
        <w:pStyle w:val="Heading1"/>
      </w:pPr>
      <w:r>
        <w:t xml:space="preserve">Tables</w:t>
      </w:r>
    </w:p>
    <w:p>
      <w:pPr>
        <w:pStyle w:val="FirstParagraph"/>
      </w:pPr>
      <w:r>
        <w:rPr>
          <w:b/>
          <w:bCs/>
        </w:rPr>
        <w:t xml:space="preserve">Table 1.</w:t>
      </w:r>
      <w:r>
        <w:t xml:space="preserve"> </w:t>
      </w:r>
      <w:r>
        <w:t xml:space="preserve">Chemistries (in wt%) of heats RD0697-6 (LLM-alloy, analyzed on the finished wire) and RD0697-7 (benchmark alloy, analyzed as cast), measured by inductively coupled plasma atomic emission spectroscopy (ICP-AES); carbon by ASTM E1019. For the benchmark, Fe is by difference and further residual elements, each below 0.01 wt%, are not listed; the ICP-AES analysis of the LLM-alloy covered only Al, Fe, Mn, Ni and Si, so a dash in its actual column means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LLM-alloy (nominal)</w:t>
            </w:r>
          </w:p>
        </w:tc>
        <w:tc>
          <w:tcPr/>
          <w:p>
            <w:pPr>
              <w:pStyle w:val="Compact"/>
            </w:pPr>
            <w:r>
              <w:t xml:space="preserve">LLM-alloy (actual)</w:t>
            </w:r>
          </w:p>
        </w:tc>
        <w:tc>
          <w:tcPr/>
          <w:p>
            <w:pPr>
              <w:pStyle w:val="Compact"/>
            </w:pPr>
            <w:r>
              <w:t xml:space="preserve">benchmark alloy (nominal)</w:t>
            </w:r>
          </w:p>
        </w:tc>
        <w:tc>
          <w:tcPr/>
          <w:p>
            <w:pPr>
              <w:pStyle w:val="Compact"/>
            </w:pPr>
            <w:r>
              <w:t xml:space="preserve">benchmark alloy (actual)</w:t>
            </w:r>
          </w:p>
        </w:tc>
      </w:tr>
      <w:tr>
        <w:tc>
          <w:tcPr/>
          <w:p>
            <w:pPr>
              <w:pStyle w:val="Compact"/>
            </w:pPr>
            <w:r>
              <w:t xml:space="preserve">Fe</w:t>
            </w:r>
          </w:p>
        </w:tc>
        <w:tc>
          <w:tcPr/>
          <w:p>
            <w:pPr>
              <w:pStyle w:val="Compact"/>
            </w:pPr>
            <w:r>
              <w:t xml:space="preserve">54.5</w:t>
            </w:r>
          </w:p>
        </w:tc>
        <w:tc>
          <w:tcPr/>
          <w:p>
            <w:pPr>
              <w:pStyle w:val="Compact"/>
            </w:pPr>
            <w:r>
              <w:t xml:space="preserve">55.83</w:t>
            </w:r>
          </w:p>
        </w:tc>
        <w:tc>
          <w:tcPr/>
          <w:p>
            <w:pPr>
              <w:pStyle w:val="Compact"/>
            </w:pPr>
            <w:r>
              <w:t xml:space="preserve">47.08</w:t>
            </w:r>
          </w:p>
        </w:tc>
        <w:tc>
          <w:tcPr/>
          <w:p>
            <w:pPr>
              <w:pStyle w:val="Compact"/>
            </w:pPr>
            <w:r>
              <w:t xml:space="preserve">46.51</w:t>
            </w:r>
          </w:p>
        </w:tc>
      </w:tr>
      <w:tr>
        <w:tc>
          <w:tcPr/>
          <w:p>
            <w:pPr>
              <w:pStyle w:val="Compact"/>
            </w:pPr>
            <w:r>
              <w:t xml:space="preserve">Mn</w:t>
            </w:r>
          </w:p>
        </w:tc>
        <w:tc>
          <w:tcPr/>
          <w:p>
            <w:pPr>
              <w:pStyle w:val="Compact"/>
            </w:pPr>
            <w:r>
              <w:t xml:space="preserve">32.3</w:t>
            </w:r>
          </w:p>
        </w:tc>
        <w:tc>
          <w:tcPr/>
          <w:p>
            <w:pPr>
              <w:pStyle w:val="Compact"/>
            </w:pPr>
            <w:r>
              <w:t xml:space="preserve">31.78</w:t>
            </w:r>
          </w:p>
        </w:tc>
        <w:tc>
          <w:tcPr/>
          <w:p>
            <w:pPr>
              <w:pStyle w:val="Compact"/>
            </w:pPr>
            <w:r>
              <w:t xml:space="preserve">36.43</w:t>
            </w:r>
          </w:p>
        </w:tc>
        <w:tc>
          <w:tcPr/>
          <w:p>
            <w:pPr>
              <w:pStyle w:val="Compact"/>
            </w:pPr>
            <w:r>
              <w:t xml:space="preserve">36.49</w:t>
            </w:r>
          </w:p>
        </w:tc>
      </w:tr>
      <w:tr>
        <w:tc>
          <w:tcPr/>
          <w:p>
            <w:pPr>
              <w:pStyle w:val="Compact"/>
            </w:pPr>
            <w:r>
              <w:t xml:space="preserve">Al</w:t>
            </w:r>
          </w:p>
        </w:tc>
        <w:tc>
          <w:tcPr/>
          <w:p>
            <w:pPr>
              <w:pStyle w:val="Compact"/>
            </w:pPr>
            <w:r>
              <w:t xml:space="preserve">6.4</w:t>
            </w:r>
          </w:p>
        </w:tc>
        <w:tc>
          <w:tcPr/>
          <w:p>
            <w:pPr>
              <w:pStyle w:val="Compact"/>
            </w:pPr>
            <w:r>
              <w:t xml:space="preserve">6.24</w:t>
            </w:r>
          </w:p>
        </w:tc>
        <w:tc>
          <w:tcPr/>
          <w:p>
            <w:pPr>
              <w:pStyle w:val="Compact"/>
            </w:pPr>
            <w:r>
              <w:t xml:space="preserve">7.9</w:t>
            </w:r>
          </w:p>
        </w:tc>
        <w:tc>
          <w:tcPr/>
          <w:p>
            <w:pPr>
              <w:pStyle w:val="Compact"/>
            </w:pPr>
            <w:r>
              <w:t xml:space="preserve">8.00</w:t>
            </w:r>
          </w:p>
        </w:tc>
      </w:tr>
      <w:tr>
        <w:tc>
          <w:tcPr/>
          <w:p>
            <w:pPr>
              <w:pStyle w:val="Compact"/>
            </w:pPr>
            <w:r>
              <w:t xml:space="preserve">Ni</w:t>
            </w:r>
          </w:p>
        </w:tc>
        <w:tc>
          <w:tcPr/>
          <w:p>
            <w:pPr>
              <w:pStyle w:val="Compact"/>
            </w:pPr>
            <w:r>
              <w:t xml:space="preserve">4.6</w:t>
            </w:r>
          </w:p>
        </w:tc>
        <w:tc>
          <w:tcPr/>
          <w:p>
            <w:pPr>
              <w:pStyle w:val="Compact"/>
            </w:pPr>
            <w:r>
              <w:t xml:space="preserve">4.81</w:t>
            </w:r>
          </w:p>
        </w:tc>
        <w:tc>
          <w:tcPr/>
          <w:p>
            <w:pPr>
              <w:pStyle w:val="Compact"/>
            </w:pPr>
            <w:r>
              <w:t xml:space="preserve">8.59</w:t>
            </w:r>
          </w:p>
        </w:tc>
        <w:tc>
          <w:tcPr/>
          <w:p>
            <w:pPr>
              <w:pStyle w:val="Compact"/>
            </w:pPr>
            <w:r>
              <w:t xml:space="preserve">8.94</w:t>
            </w:r>
          </w:p>
        </w:tc>
      </w:tr>
      <w:tr>
        <w:tc>
          <w:tcPr/>
          <w:p>
            <w:pPr>
              <w:pStyle w:val="Compact"/>
            </w:pPr>
            <w:r>
              <w:t xml:space="preserve">Si</w:t>
            </w:r>
          </w:p>
        </w:tc>
        <w:tc>
          <w:tcPr/>
          <w:p>
            <w:pPr>
              <w:pStyle w:val="Compact"/>
            </w:pPr>
            <w:r>
              <w:t xml:space="preserve">2.2</w:t>
            </w:r>
          </w:p>
        </w:tc>
        <w:tc>
          <w:tcPr/>
          <w:p>
            <w:pPr>
              <w:pStyle w:val="Compact"/>
            </w:pPr>
            <w:r>
              <w:t xml:space="preserve">1.11</w:t>
            </w:r>
          </w:p>
        </w:tc>
        <w:tc>
          <w:tcPr/>
          <w:p>
            <w:pPr>
              <w:pStyle w:val="Compact"/>
            </w:pPr>
            <w:r>
              <w:t xml:space="preserve">–</w:t>
            </w:r>
          </w:p>
        </w:tc>
        <w:tc>
          <w:tcPr/>
          <w:p>
            <w:pPr>
              <w:pStyle w:val="Compact"/>
            </w:pPr>
            <w:r>
              <w:t xml:space="preserve">&lt;0.01</w:t>
            </w:r>
          </w:p>
        </w:tc>
      </w:tr>
      <w:tr>
        <w:tc>
          <w:tcPr/>
          <w:p>
            <w:pPr>
              <w:pStyle w:val="Compact"/>
            </w:pPr>
            <w:r>
              <w:t xml:space="preserve">C</w:t>
            </w:r>
          </w:p>
        </w:tc>
        <w:tc>
          <w:tcPr/>
          <w:p>
            <w:pPr>
              <w:pStyle w:val="Compact"/>
            </w:pPr>
            <w:r>
              <w:t xml:space="preserve">0.1</w:t>
            </w:r>
          </w:p>
        </w:tc>
        <w:tc>
          <w:tcPr/>
          <w:p>
            <w:pPr>
              <w:pStyle w:val="Compact"/>
            </w:pPr>
            <w:r>
              <w:t xml:space="preserve">0.105</w:t>
            </w:r>
          </w:p>
        </w:tc>
        <w:tc>
          <w:tcPr/>
          <w:p>
            <w:pPr>
              <w:pStyle w:val="Compact"/>
            </w:pPr>
            <w:r>
              <w:t xml:space="preserve">–</w:t>
            </w:r>
          </w:p>
        </w:tc>
        <w:tc>
          <w:tcPr/>
          <w:p>
            <w:pPr>
              <w:pStyle w:val="Compact"/>
            </w:pPr>
            <w:r>
              <w:t xml:space="preserve">0.01</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w:t>
            </w:r>
          </w:p>
        </w:tc>
      </w:tr>
    </w:tbl>
    <w:p>
      <w:pPr>
        <w:pStyle w:val="BodyText"/>
      </w:pPr>
      <w:r>
        <w:rPr>
          <w:b/>
          <w:bCs/>
        </w:rPr>
        <w:t xml:space="preserve">Table 2.</w:t>
      </w:r>
      <w:r>
        <w:t xml:space="preserve"> </w:t>
      </w:r>
      <w:r>
        <w:t xml:space="preserve">Mechanical properties of the LLM-alloy (0.36 mm wire) after heat treatment for 1 minute at different temperatures, tested on a 127 mm gauge (Sec. 2.4); E is the apparent modulus from crosshead strain. Each data point is the average of three samples;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benchmark alloy cannot be evaluated in PrecHiMn-04, which contains no 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p>
      <w:pPr>
        <w:pStyle w:val="BodyText"/>
      </w:pPr>
      <w:r>
        <w:rPr>
          <w:b/>
          <w:bCs/>
        </w:rPr>
        <w:t xml:space="preserve">Table 4.</w:t>
      </w:r>
      <w:r>
        <w:t xml:space="preserve"> </w:t>
      </w:r>
      <w:r>
        <w:t xml:space="preserve">Calculated single-phase α field in the solid state and calculated solidus (°C).</w:t>
      </w:r>
      <w:r>
        <w:t xml:space="preserve"> </w:t>
      </w:r>
      <w:r>
        <w:t xml:space="preserve">“None”</w:t>
      </w:r>
      <w:r>
        <w:t xml:space="preserve"> </w:t>
      </w:r>
      <w:r>
        <w:t xml:space="preserve">means that liquid appears before the last γ dissolves. Values are read from a 10 °C temperature grid and carry that resolution (±10 °C); the solidus is where the liquid fraction first exceeds 0.5%.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α 1140–1320; solidus ≈1325</w:t>
            </w:r>
          </w:p>
        </w:tc>
        <w:tc>
          <w:tcPr/>
          <w:p>
            <w:pPr>
              <w:pStyle w:val="Compact"/>
            </w:pPr>
            <w:r>
              <w:t xml:space="preserve">–</w:t>
            </w:r>
          </w:p>
        </w:tc>
        <w:tc>
          <w:tcPr/>
          <w:p>
            <w:pPr>
              <w:pStyle w:val="Compact"/>
            </w:pPr>
            <w:r>
              <w:t xml:space="preserve">α 950–1360; solidus ≈1375</w:t>
            </w:r>
          </w:p>
        </w:tc>
      </w:tr>
      <w:tr>
        <w:tc>
          <w:tcPr/>
          <w:p>
            <w:pPr>
              <w:pStyle w:val="Compact"/>
            </w:pPr>
            <w:r>
              <w:t xml:space="preserve">LLM-alloy</w:t>
            </w:r>
          </w:p>
        </w:tc>
        <w:tc>
          <w:tcPr/>
          <w:p>
            <w:pPr>
              <w:pStyle w:val="Compact"/>
            </w:pPr>
            <w:r>
              <w:t xml:space="preserve">none; solidus ≈1295</w:t>
            </w:r>
          </w:p>
        </w:tc>
        <w:tc>
          <w:tcPr/>
          <w:p>
            <w:pPr>
              <w:pStyle w:val="Compact"/>
            </w:pPr>
            <w:r>
              <w:t xml:space="preserve">none; solidus ≈1295</w:t>
            </w:r>
          </w:p>
        </w:tc>
        <w:tc>
          <w:tcPr/>
          <w:p>
            <w:pPr>
              <w:pStyle w:val="Compact"/>
            </w:pPr>
            <w:r>
              <w:t xml:space="preserve">none; solidus ≈1240</w:t>
            </w:r>
          </w:p>
        </w:tc>
      </w:tr>
      <w:tr>
        <w:tc>
          <w:tcPr/>
          <w:p>
            <w:pPr>
              <w:pStyle w:val="Compact"/>
            </w:pPr>
            <w:r>
              <w:t xml:space="preserve">LLM-alloy, C removed</w:t>
            </w:r>
          </w:p>
        </w:tc>
        <w:tc>
          <w:tcPr/>
          <w:p>
            <w:pPr>
              <w:pStyle w:val="Compact"/>
            </w:pPr>
            <w:r>
              <w:t xml:space="preserve">α 1150–1370; solidus ≈1375</w:t>
            </w:r>
          </w:p>
        </w:tc>
        <w:tc>
          <w:tcPr/>
          <w:p>
            <w:pPr>
              <w:pStyle w:val="Compact"/>
            </w:pPr>
            <w:r>
              <w:t xml:space="preserve">α 1160–1290; solidus ≈1295</w:t>
            </w:r>
          </w:p>
        </w:tc>
        <w:tc>
          <w:tcPr/>
          <w:p>
            <w:pPr>
              <w:pStyle w:val="Compact"/>
            </w:pPr>
            <w:r>
              <w:t xml:space="preserve">α 1130–1240; solidus ≈1245</w:t>
            </w:r>
          </w:p>
        </w:tc>
      </w:tr>
    </w:tbl>
    <w:bookmarkEnd w:id="108"/>
    <w:bookmarkStart w:id="139"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0" name="Picture"/>
            <a:graphic>
              <a:graphicData uri="http://schemas.openxmlformats.org/drawingml/2006/picture">
                <pic:pic>
                  <pic:nvPicPr>
                    <pic:cNvPr descr="figures/Figure_1.jpg" id="111" name="Picture"/>
                    <pic:cNvPicPr>
                      <a:picLocks noChangeArrowheads="1" noChangeAspect="1"/>
                    </pic:cNvPicPr>
                  </pic:nvPicPr>
                  <pic:blipFill>
                    <a:blip r:embed="rId109"/>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113" name="Picture"/>
            <a:graphic>
              <a:graphicData uri="http://schemas.openxmlformats.org/drawingml/2006/picture">
                <pic:pic>
                  <pic:nvPicPr>
                    <pic:cNvPr descr="figures/Figure_2.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34000" cy="2014968"/>
            <wp:effectExtent b="0" l="0" r="0" t="0"/>
            <wp:docPr descr="" title="" id="116" name="Picture"/>
            <a:graphic>
              <a:graphicData uri="http://schemas.openxmlformats.org/drawingml/2006/picture">
                <pic:pic>
                  <pic:nvPicPr>
                    <pic:cNvPr descr="figures/Figure_3.jpg" id="117" name="Picture"/>
                    <pic:cNvPicPr>
                      <a:picLocks noChangeArrowheads="1" noChangeAspect="1"/>
                    </pic:cNvPicPr>
                  </pic:nvPicPr>
                  <pic:blipFill>
                    <a:blip r:embed="rId115"/>
                    <a:stretch>
                      <a:fillRect/>
                    </a:stretch>
                  </pic:blipFill>
                  <pic:spPr bwMode="auto">
                    <a:xfrm>
                      <a:off x="0" y="0"/>
                      <a:ext cx="5334000" cy="2014968"/>
                    </a:xfrm>
                    <a:prstGeom prst="rect">
                      <a:avLst/>
                    </a:prstGeom>
                    <a:noFill/>
                    <a:ln w="9525">
                      <a:noFill/>
                      <a:headEnd/>
                      <a:tailEnd/>
                    </a:ln>
                  </pic:spPr>
                </pic:pic>
              </a:graphicData>
            </a:graphic>
          </wp:inline>
        </w:drawing>
      </w:r>
    </w:p>
    <w:p>
      <w:pPr>
        <w:pStyle w:val="BodyText"/>
      </w:pPr>
      <w:r>
        <w:drawing>
          <wp:inline>
            <wp:extent cx="5334000" cy="5207668"/>
            <wp:effectExtent b="0" l="0" r="0" t="0"/>
            <wp:docPr descr="" title="" id="119" name="Picture"/>
            <a:graphic>
              <a:graphicData uri="http://schemas.openxmlformats.org/drawingml/2006/picture">
                <pic:pic>
                  <pic:nvPicPr>
                    <pic:cNvPr descr="figures/Figure_4.jpg" id="120" name="Picture"/>
                    <pic:cNvPicPr>
                      <a:picLocks noChangeArrowheads="1" noChangeAspect="1"/>
                    </pic:cNvPicPr>
                  </pic:nvPicPr>
                  <pic:blipFill>
                    <a:blip r:embed="rId118"/>
                    <a:stretch>
                      <a:fillRect/>
                    </a:stretch>
                  </pic:blipFill>
                  <pic:spPr bwMode="auto">
                    <a:xfrm>
                      <a:off x="0" y="0"/>
                      <a:ext cx="5334000" cy="5207668"/>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2" name="Picture"/>
            <a:graphic>
              <a:graphicData uri="http://schemas.openxmlformats.org/drawingml/2006/picture">
                <pic:pic>
                  <pic:nvPicPr>
                    <pic:cNvPr descr="figures/Figure_5.jpg" id="123" name="Picture"/>
                    <pic:cNvPicPr>
                      <a:picLocks noChangeArrowheads="1" noChangeAspect="1"/>
                    </pic:cNvPicPr>
                  </pic:nvPicPr>
                  <pic:blipFill>
                    <a:blip r:embed="rId121"/>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5" name="Picture"/>
            <a:graphic>
              <a:graphicData uri="http://schemas.openxmlformats.org/drawingml/2006/picture">
                <pic:pic>
                  <pic:nvPicPr>
                    <pic:cNvPr descr="figures/Figure_6.jpg" id="126" name="Picture"/>
                    <pic:cNvPicPr>
                      <a:picLocks noChangeArrowheads="1" noChangeAspect="1"/>
                    </pic:cNvPicPr>
                  </pic:nvPicPr>
                  <pic:blipFill>
                    <a:blip r:embed="rId124"/>
                    <a:stretch>
                      <a:fillRect/>
                    </a:stretch>
                  </pic:blipFill>
                  <pic:spPr bwMode="auto">
                    <a:xfrm>
                      <a:off x="0" y="0"/>
                      <a:ext cx="5120640" cy="5943600"/>
                    </a:xfrm>
                    <a:prstGeom prst="rect">
                      <a:avLst/>
                    </a:prstGeom>
                    <a:noFill/>
                    <a:ln w="9525">
                      <a:noFill/>
                      <a:headEnd/>
                      <a:tailEnd/>
                    </a:ln>
                  </pic:spPr>
                </pic:pic>
              </a:graphicData>
            </a:graphic>
          </wp:inline>
        </w:drawing>
      </w:r>
    </w:p>
    <w:p>
      <w:pPr>
        <w:pStyle w:val="BodyText"/>
      </w:pPr>
      <w:r>
        <w:drawing>
          <wp:inline>
            <wp:extent cx="3404616" cy="1234440"/>
            <wp:effectExtent b="0" l="0" r="0" t="0"/>
            <wp:docPr descr="" title="" id="128" name="Picture"/>
            <a:graphic>
              <a:graphicData uri="http://schemas.openxmlformats.org/drawingml/2006/picture">
                <pic:pic>
                  <pic:nvPicPr>
                    <pic:cNvPr descr="figures/Figure_7.jpg" id="129" name="Picture"/>
                    <pic:cNvPicPr>
                      <a:picLocks noChangeArrowheads="1" noChangeAspect="1"/>
                    </pic:cNvPicPr>
                  </pic:nvPicPr>
                  <pic:blipFill>
                    <a:blip r:embed="rId127"/>
                    <a:stretch>
                      <a:fillRect/>
                    </a:stretch>
                  </pic:blipFill>
                  <pic:spPr bwMode="auto">
                    <a:xfrm>
                      <a:off x="0" y="0"/>
                      <a:ext cx="3404616" cy="1234440"/>
                    </a:xfrm>
                    <a:prstGeom prst="rect">
                      <a:avLst/>
                    </a:prstGeom>
                    <a:noFill/>
                    <a:ln w="9525">
                      <a:noFill/>
                      <a:headEnd/>
                      <a:tailEnd/>
                    </a:ln>
                  </pic:spPr>
                </pic:pic>
              </a:graphicData>
            </a:graphic>
          </wp:inline>
        </w:drawing>
      </w:r>
    </w:p>
    <w:p>
      <w:pPr>
        <w:pStyle w:val="BodyText"/>
      </w:pPr>
      <w:r>
        <w:drawing>
          <wp:inline>
            <wp:extent cx="3566160" cy="3410712"/>
            <wp:effectExtent b="0" l="0" r="0" t="0"/>
            <wp:docPr descr="" title="" id="131" name="Picture"/>
            <a:graphic>
              <a:graphicData uri="http://schemas.openxmlformats.org/drawingml/2006/picture">
                <pic:pic>
                  <pic:nvPicPr>
                    <pic:cNvPr descr="figures/Figure_8.jpg" id="132" name="Picture"/>
                    <pic:cNvPicPr>
                      <a:picLocks noChangeArrowheads="1" noChangeAspect="1"/>
                    </pic:cNvPicPr>
                  </pic:nvPicPr>
                  <pic:blipFill>
                    <a:blip r:embed="rId130"/>
                    <a:stretch>
                      <a:fillRect/>
                    </a:stretch>
                  </pic:blipFill>
                  <pic:spPr bwMode="auto">
                    <a:xfrm>
                      <a:off x="0" y="0"/>
                      <a:ext cx="3566160" cy="3410712"/>
                    </a:xfrm>
                    <a:prstGeom prst="rect">
                      <a:avLst/>
                    </a:prstGeom>
                    <a:noFill/>
                    <a:ln w="9525">
                      <a:noFill/>
                      <a:headEnd/>
                      <a:tailEnd/>
                    </a:ln>
                  </pic:spPr>
                </pic:pic>
              </a:graphicData>
            </a:graphic>
          </wp:inline>
        </w:drawing>
      </w:r>
    </w:p>
    <w:p>
      <w:pPr>
        <w:pStyle w:val="BodyText"/>
      </w:pPr>
      <w:r>
        <w:drawing>
          <wp:inline>
            <wp:extent cx="5334000" cy="1862666"/>
            <wp:effectExtent b="0" l="0" r="0" t="0"/>
            <wp:docPr descr="" title="" id="134" name="Picture"/>
            <a:graphic>
              <a:graphicData uri="http://schemas.openxmlformats.org/drawingml/2006/picture">
                <pic:pic>
                  <pic:nvPicPr>
                    <pic:cNvPr descr="figures/Figure_9.png" id="135" name="Picture"/>
                    <pic:cNvPicPr>
                      <a:picLocks noChangeArrowheads="1" noChangeAspect="1"/>
                    </pic:cNvPicPr>
                  </pic:nvPicPr>
                  <pic:blipFill>
                    <a:blip r:embed="rId133"/>
                    <a:stretch>
                      <a:fillRect/>
                    </a:stretch>
                  </pic:blipFill>
                  <pic:spPr bwMode="auto">
                    <a:xfrm>
                      <a:off x="0" y="0"/>
                      <a:ext cx="5334000" cy="1862666"/>
                    </a:xfrm>
                    <a:prstGeom prst="rect">
                      <a:avLst/>
                    </a:prstGeom>
                    <a:noFill/>
                    <a:ln w="9525">
                      <a:noFill/>
                      <a:headEnd/>
                      <a:tailEnd/>
                    </a:ln>
                  </pic:spPr>
                </pic:pic>
              </a:graphicData>
            </a:graphic>
          </wp:inline>
        </w:drawing>
      </w:r>
    </w:p>
    <w:p>
      <w:pPr>
        <w:pStyle w:val="BodyText"/>
      </w:pPr>
      <w:r>
        <w:drawing>
          <wp:inline>
            <wp:extent cx="5334000" cy="3087729"/>
            <wp:effectExtent b="0" l="0" r="0" t="0"/>
            <wp:docPr descr="" title="" id="137" name="Picture"/>
            <a:graphic>
              <a:graphicData uri="http://schemas.openxmlformats.org/drawingml/2006/picture">
                <pic:pic>
                  <pic:nvPicPr>
                    <pic:cNvPr descr="figures/Figure_10.png" id="138" name="Picture"/>
                    <pic:cNvPicPr>
                      <a:picLocks noChangeArrowheads="1" noChangeAspect="1"/>
                    </pic:cNvPicPr>
                  </pic:nvPicPr>
                  <pic:blipFill>
                    <a:blip r:embed="rId136"/>
                    <a:stretch>
                      <a:fillRect/>
                    </a:stretch>
                  </pic:blipFill>
                  <pic:spPr bwMode="auto">
                    <a:xfrm>
                      <a:off x="0" y="0"/>
                      <a:ext cx="5334000" cy="3087729"/>
                    </a:xfrm>
                    <a:prstGeom prst="rect">
                      <a:avLst/>
                    </a:prstGeom>
                    <a:noFill/>
                    <a:ln w="9525">
                      <a:noFill/>
                      <a:headEnd/>
                      <a:tailEnd/>
                    </a:ln>
                  </pic:spPr>
                </pic:pic>
              </a:graphicData>
            </a:graphic>
          </wp:inline>
        </w:drawing>
      </w:r>
    </w:p>
    <w:bookmarkEnd w:id="139"/>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136" Type="http://schemas.openxmlformats.org/officeDocument/2006/relationships/image" Target="media/rId136.png"/><Relationship Id="rId112" Type="http://schemas.openxmlformats.org/officeDocument/2006/relationships/image" Target="media/rId112.png"/><Relationship Id="rId115" Type="http://schemas.openxmlformats.org/officeDocument/2006/relationships/image" Target="media/rId115.jpg"/><Relationship Id="rId118" Type="http://schemas.openxmlformats.org/officeDocument/2006/relationships/image" Target="media/rId118.jpg"/><Relationship Id="rId121" Type="http://schemas.openxmlformats.org/officeDocument/2006/relationships/image" Target="media/rId121.jpg"/><Relationship Id="rId124" Type="http://schemas.openxmlformats.org/officeDocument/2006/relationships/image" Target="media/rId124.jpg"/><Relationship Id="rId127" Type="http://schemas.openxmlformats.org/officeDocument/2006/relationships/image" Target="media/rId127.jpg"/><Relationship Id="rId130" Type="http://schemas.openxmlformats.org/officeDocument/2006/relationships/image" Target="media/rId130.jpg"/><Relationship Id="rId133" Type="http://schemas.openxmlformats.org/officeDocument/2006/relationships/image" Target="media/rId133.png"/><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3" Type="http://schemas.openxmlformats.org/officeDocument/2006/relationships/hyperlink" Target="https://doi.org/10.1007/s11661-012-1149-x" TargetMode="External"/><Relationship Id="rId68" Type="http://schemas.openxmlformats.org/officeDocument/2006/relationships/hyperlink" Target="https://doi.org/10.1007/s11661-024-07304-z" TargetMode="External"/><Relationship Id="rId64" Type="http://schemas.openxmlformats.org/officeDocument/2006/relationships/hyperlink" Target="https://doi.org/10.1007/s11837-022-05349-2" TargetMode="External"/><Relationship Id="rId60"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0" Type="http://schemas.openxmlformats.org/officeDocument/2006/relationships/hyperlink" Target="https://doi.org/10.1007/s40830-024-00504-x" TargetMode="External"/><Relationship Id="rId74" Type="http://schemas.openxmlformats.org/officeDocument/2006/relationships/hyperlink" Target="https://doi.org/10.1007/s41365-024-01468-4" TargetMode="External"/><Relationship Id="rId72" Type="http://schemas.openxmlformats.org/officeDocument/2006/relationships/hyperlink" Target="https://doi.org/10.1007/s41365-024-01487-1" TargetMode="External"/><Relationship Id="rId48" Type="http://schemas.openxmlformats.org/officeDocument/2006/relationships/hyperlink" Target="https://doi.org/10.1016/S0921-5093(99)00294-4" TargetMode="External"/><Relationship Id="rId62"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89" Type="http://schemas.openxmlformats.org/officeDocument/2006/relationships/hyperlink" Target="https://doi.org/10.1016/j.calphad.2016.11.006" TargetMode="External"/><Relationship Id="rId87" Type="http://schemas.openxmlformats.org/officeDocument/2006/relationships/hyperlink" Target="https://doi.org/10.1016/j.calphad.2023.102644" TargetMode="External"/><Relationship Id="rId52" Type="http://schemas.openxmlformats.org/officeDocument/2006/relationships/hyperlink" Target="https://doi.org/10.1016/j.conbuildmat.2014.04.032" TargetMode="External"/><Relationship Id="rId101"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6"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1" Type="http://schemas.openxmlformats.org/officeDocument/2006/relationships/hyperlink" Target="https://doi.org/10.1017/CBO9780511804137" TargetMode="External"/><Relationship Id="rId95" Type="http://schemas.openxmlformats.org/officeDocument/2006/relationships/hyperlink" Target="https://doi.org/10.1038/s41467-019-10308-8" TargetMode="External"/><Relationship Id="rId32" Type="http://schemas.openxmlformats.org/officeDocument/2006/relationships/hyperlink" Target="https://doi.org/10.1038/s41586-023-06735-9" TargetMode="External"/><Relationship Id="rId79" Type="http://schemas.openxmlformats.org/officeDocument/2006/relationships/hyperlink" Target="https://doi.org/10.1063/1.364220" TargetMode="External"/><Relationship Id="rId98" Type="http://schemas.openxmlformats.org/officeDocument/2006/relationships/hyperlink" Target="https://doi.org/10.1063/1.4769375" TargetMode="External"/><Relationship Id="rId77" Type="http://schemas.openxmlformats.org/officeDocument/2006/relationships/hyperlink" Target="https://doi.org/10.1107/S0021889869006558" TargetMode="External"/><Relationship Id="rId93"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3" Type="http://schemas.openxmlformats.org/officeDocument/2006/relationships/hyperlink" Target="https://doi.org/10.5334/jors.140" TargetMode="External"/><Relationship Id="rId85" Type="http://schemas.openxmlformats.org/officeDocument/2006/relationships/hyperlink" Target="https://github.com/pycalphad/binder/tree/develop/multicomponent-databases" TargetMode="External"/><Relationship Id="rId91"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3" Type="http://schemas.openxmlformats.org/officeDocument/2006/relationships/hyperlink" Target="https://doi.org/10.1007/s11661-012-1149-x" TargetMode="External"/><Relationship Id="rId68" Type="http://schemas.openxmlformats.org/officeDocument/2006/relationships/hyperlink" Target="https://doi.org/10.1007/s11661-024-07304-z" TargetMode="External"/><Relationship Id="rId64" Type="http://schemas.openxmlformats.org/officeDocument/2006/relationships/hyperlink" Target="https://doi.org/10.1007/s11837-022-05349-2" TargetMode="External"/><Relationship Id="rId60"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0" Type="http://schemas.openxmlformats.org/officeDocument/2006/relationships/hyperlink" Target="https://doi.org/10.1007/s40830-024-00504-x" TargetMode="External"/><Relationship Id="rId74" Type="http://schemas.openxmlformats.org/officeDocument/2006/relationships/hyperlink" Target="https://doi.org/10.1007/s41365-024-01468-4" TargetMode="External"/><Relationship Id="rId72" Type="http://schemas.openxmlformats.org/officeDocument/2006/relationships/hyperlink" Target="https://doi.org/10.1007/s41365-024-01487-1" TargetMode="External"/><Relationship Id="rId48" Type="http://schemas.openxmlformats.org/officeDocument/2006/relationships/hyperlink" Target="https://doi.org/10.1016/S0921-5093(99)00294-4" TargetMode="External"/><Relationship Id="rId62"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89" Type="http://schemas.openxmlformats.org/officeDocument/2006/relationships/hyperlink" Target="https://doi.org/10.1016/j.calphad.2016.11.006" TargetMode="External"/><Relationship Id="rId87" Type="http://schemas.openxmlformats.org/officeDocument/2006/relationships/hyperlink" Target="https://doi.org/10.1016/j.calphad.2023.102644" TargetMode="External"/><Relationship Id="rId52" Type="http://schemas.openxmlformats.org/officeDocument/2006/relationships/hyperlink" Target="https://doi.org/10.1016/j.conbuildmat.2014.04.032" TargetMode="External"/><Relationship Id="rId101"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6"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1" Type="http://schemas.openxmlformats.org/officeDocument/2006/relationships/hyperlink" Target="https://doi.org/10.1017/CBO9780511804137" TargetMode="External"/><Relationship Id="rId95" Type="http://schemas.openxmlformats.org/officeDocument/2006/relationships/hyperlink" Target="https://doi.org/10.1038/s41467-019-10308-8" TargetMode="External"/><Relationship Id="rId32" Type="http://schemas.openxmlformats.org/officeDocument/2006/relationships/hyperlink" Target="https://doi.org/10.1038/s41586-023-06735-9" TargetMode="External"/><Relationship Id="rId79" Type="http://schemas.openxmlformats.org/officeDocument/2006/relationships/hyperlink" Target="https://doi.org/10.1063/1.364220" TargetMode="External"/><Relationship Id="rId98" Type="http://schemas.openxmlformats.org/officeDocument/2006/relationships/hyperlink" Target="https://doi.org/10.1063/1.4769375" TargetMode="External"/><Relationship Id="rId77" Type="http://schemas.openxmlformats.org/officeDocument/2006/relationships/hyperlink" Target="https://doi.org/10.1107/S0021889869006558" TargetMode="External"/><Relationship Id="rId93"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3" Type="http://schemas.openxmlformats.org/officeDocument/2006/relationships/hyperlink" Target="https://doi.org/10.5334/jors.140" TargetMode="External"/><Relationship Id="rId85" Type="http://schemas.openxmlformats.org/officeDocument/2006/relationships/hyperlink" Target="https://github.com/pycalphad/binder/tree/develop/multicomponent-databases" TargetMode="External"/><Relationship Id="rId91"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2026-09-28T16:32:13Z</dcterms:created>
  <dcterms:modified xsi:type="dcterms:W3CDTF">2026-09-28T16:32:13Z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C:\Users\frank\fe-sma-paper\submissions\JMEP-2026-09\references-jmep.bib</vt:lpwstr>
  </property>
  <property fmtid="{D5CDD505-2E9C-101B-9397-08002B2CF9AE}" pid="3" name="csl">
    <vt:lpwstr>C:\Users\frank\fe-sma-paper\submissions\JMEP-2026-09\jmep.csl</vt:lpwstr>
  </property>
</Properties>
</file>