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DC579" w14:textId="66F2169D" w:rsidR="002C34B5" w:rsidRDefault="00313D9C">
      <w:pPr>
        <w:pStyle w:val="Title"/>
      </w:pPr>
      <w:r>
        <w:t>Experimental Validation</w:t>
      </w:r>
      <w:r>
        <w:t xml:space="preserve"> of an </w:t>
      </w:r>
      <w:r>
        <w:t>LLM</w:t>
      </w:r>
      <w:r>
        <w:t xml:space="preserve">-Hypothesized </w:t>
      </w:r>
      <w:r>
        <w:t>Fe-Mn-Al-Ni-Si-C Alloy</w:t>
      </w:r>
      <w:r>
        <w:t>: Phase Stability Governs the Absence of Super-elasticity</w:t>
      </w:r>
    </w:p>
    <w:p w14:paraId="6A8D9795" w14:textId="77777777" w:rsidR="002C34B5" w:rsidRDefault="00313D9C">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54FD2D28" w14:textId="77777777" w:rsidR="002C34B5" w:rsidRDefault="00313D9C">
      <w:pPr>
        <w:pStyle w:val="BodyText"/>
      </w:pPr>
      <w:r>
        <w:rPr>
          <w:vertAlign w:val="superscript"/>
        </w:rPr>
        <w:t>1</w:t>
      </w:r>
      <w:r>
        <w:t>School of Engineering Technologies, Purdue University, West Lafayette, Indiana</w:t>
      </w:r>
      <w:r>
        <w:t xml:space="preserve"> 47907</w:t>
      </w:r>
      <w:r>
        <w:t>, USA</w:t>
      </w:r>
    </w:p>
    <w:p w14:paraId="0FBA454E" w14:textId="705A7B0B" w:rsidR="002C34B5" w:rsidRDefault="00313D9C">
      <w:pPr>
        <w:pStyle w:val="BodyText"/>
      </w:pPr>
      <w:r>
        <w:rPr>
          <w:vertAlign w:val="superscript"/>
        </w:rPr>
        <w:t>2</w:t>
      </w:r>
      <w:r>
        <w:t>Fort Wayne Metals, Fort Wayne, Indiana</w:t>
      </w:r>
      <w:r>
        <w:t xml:space="preserve"> [ZIP — confirm],</w:t>
      </w:r>
      <w:r>
        <w:t xml:space="preserve"> USA</w:t>
      </w:r>
    </w:p>
    <w:p w14:paraId="780178C8" w14:textId="77777777" w:rsidR="002C34B5" w:rsidRDefault="00313D9C">
      <w:pPr>
        <w:pStyle w:val="BodyText"/>
      </w:pPr>
      <w:r>
        <w:rPr>
          <w:vertAlign w:val="superscript"/>
        </w:rPr>
        <w:t>3</w:t>
      </w:r>
      <w:r>
        <w:t>School of Engineering Technologies, Purdue University, West Lafayette, Indiana</w:t>
      </w:r>
      <w:r>
        <w:t xml:space="preserve"> 47907</w:t>
      </w:r>
      <w:r>
        <w:t>, USA</w:t>
      </w:r>
    </w:p>
    <w:p w14:paraId="6B837A61" w14:textId="5A2F586B" w:rsidR="002C34B5" w:rsidRDefault="00313D9C">
      <w:pPr>
        <w:pStyle w:val="BodyText"/>
      </w:pPr>
      <w:r>
        <w:rPr>
          <w:vertAlign w:val="superscript"/>
        </w:rPr>
        <w:t>4</w:t>
      </w:r>
      <w:r>
        <w:t>Shanghai Synchrotron Radiation Facility, Shanghai</w:t>
      </w:r>
      <w:r>
        <w:t xml:space="preserve"> [postal code — confirm],</w:t>
      </w:r>
      <w:r>
        <w:t xml:space="preserve"> China</w:t>
      </w:r>
    </w:p>
    <w:p w14:paraId="2DFAC078" w14:textId="2CCBA1F5" w:rsidR="002C34B5" w:rsidRDefault="00313D9C">
      <w:pPr>
        <w:pStyle w:val="BodyText"/>
      </w:pPr>
      <w:r>
        <w:t>*Corresponding author. E-mail</w:t>
      </w:r>
      <w:r>
        <w:t>: cai485@purdue.edu</w:t>
      </w:r>
    </w:p>
    <w:p w14:paraId="07B67E5C" w14:textId="77777777" w:rsidR="002C34B5" w:rsidRDefault="00313D9C">
      <w:r>
        <w:pict>
          <v:rect id="_x0000_i1025" style="width:0;height:1.5pt" o:hralign="center" o:hrstd="t" o:hr="t"/>
        </w:pict>
      </w:r>
    </w:p>
    <w:p w14:paraId="7F1A3CD3" w14:textId="77777777" w:rsidR="002C34B5" w:rsidRDefault="00313D9C">
      <w:pPr>
        <w:pStyle w:val="Heading1"/>
      </w:pPr>
      <w:bookmarkStart w:id="0" w:name="abstract"/>
      <w:r>
        <w:t>Abstract</w:t>
      </w:r>
    </w:p>
    <w:p w14:paraId="2C9C6DB4" w14:textId="147396C2" w:rsidR="002C34B5" w:rsidRDefault="00313D9C">
      <w:pPr>
        <w:pStyle w:val="FirstParagraph"/>
      </w:pPr>
      <w:r>
        <w:t>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actually work once synthesized. Here we report the synthesis and mechanical characterization of an LLM-hypothesized Fe-Mn-Al-</w:t>
      </w:r>
      <w:r>
        <w:t>Ni-</w:t>
      </w:r>
      <w:r>
        <w:t>Si</w:t>
      </w:r>
      <w:r>
        <w:t xml:space="preserve">-C composition, benchmarked against an established super-elastic Fe-Mn-Al-Ni alloy processed under identical conditions. The </w:t>
      </w:r>
      <w:r>
        <w:t>LLM</w:t>
      </w:r>
      <w:r>
        <w:t xml:space="preserve">-hypothesized alloy was readily castable but failed to exhibit super-elasticity under any condition tested, deforming instead like a conventional elastic metal. Synchrotron X-ray diffraction showed that this failure stems from a phase-stability mismatch: the </w:t>
      </w:r>
      <w:r>
        <w:t>LLM-</w:t>
      </w:r>
      <w:r>
        <w:t>alloy forms a stable dual-phase microstructure with a minor ordered Fe-Al phase that does not support the transformation pathway the benchmark alloy relies on</w:t>
      </w:r>
      <w:r>
        <w:t>. Equilibrium CALPHAD calculations across three independent databases, validated against the benchmark, locate the cause precisely. The benchmark solution-treats to single-phase BCC α at 1200 °C, whereas the LLM-alloy is two-phase there and reaches single-phase α only at ≈1340 °C, above its accessible processing range; deleting carbon alone from the measured chemistry, with every other element held fixed, lowers that field to ≈1150 °C and restores the single-phase state. A carbon addition of ≈0.10 wt% is th</w:t>
      </w:r>
      <w:r>
        <w:t>us sufficient to close the processing window on which super-elasticity depends.</w:t>
      </w:r>
      <w:r>
        <w:t xml:space="preserve"> We conclude that LLM-proposed alloy compositions cannot be assumed to work as intended and should be screened for competing phase stability and interstitial content before physical synthesis is attempted</w:t>
      </w:r>
      <w:r>
        <w:t xml:space="preserve"> — a check that costs minutes of computation with openly available databases</w:t>
      </w:r>
      <w:r>
        <w:t>.</w:t>
      </w:r>
    </w:p>
    <w:p w14:paraId="08296065" w14:textId="77777777" w:rsidR="002C34B5" w:rsidRDefault="00313D9C">
      <w:pPr>
        <w:pStyle w:val="BodyText"/>
      </w:pPr>
      <w:r>
        <w:rPr>
          <w:b/>
          <w:bCs/>
        </w:rPr>
        <w:t>Keywords:</w:t>
      </w:r>
      <w:r>
        <w:t xml:space="preserve"> Fe-based shape memory alloy; super-elasticity; AI-guided alloy design</w:t>
      </w:r>
      <w:r>
        <w:t>; CALPHAD</w:t>
      </w:r>
      <w:r>
        <w:t>; synchrotron XRD; abnormal grain growth</w:t>
      </w:r>
    </w:p>
    <w:p w14:paraId="3663B98A" w14:textId="77777777" w:rsidR="002C34B5" w:rsidRDefault="00313D9C">
      <w:r>
        <w:pict>
          <v:rect id="_x0000_i1026" style="width:0;height:1.5pt" o:hralign="center" o:hrstd="t" o:hr="t"/>
        </w:pict>
      </w:r>
    </w:p>
    <w:p w14:paraId="2AD1BB7A" w14:textId="77777777" w:rsidR="002C34B5" w:rsidRDefault="00313D9C">
      <w:pPr>
        <w:pStyle w:val="Heading1"/>
      </w:pPr>
      <w:bookmarkStart w:id="1" w:name="introduction"/>
      <w:bookmarkEnd w:id="0"/>
      <w:r>
        <w:t>1. Introduction</w:t>
      </w:r>
    </w:p>
    <w:p w14:paraId="4B11F0B7" w14:textId="77777777" w:rsidR="002C34B5" w:rsidRDefault="00313D9C">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 Together these tools raise the possibility of alloy design that supplements intuition-guided iteration with AI-proposed, thermodynamically screened candidates. Recent studies have begun applying such AI methods specifically to shape memory alloys, including data-driven composition screening [4], generative inverse design [5]</w:t>
      </w:r>
      <w:r>
        <w:t>, and LLM-based hypothesis generation [6]. However, whether these AI models practically work or not is yet to be tested. Current generative materials models typically optimize for thermodynamic stability (formation energy, convex-hull distance) but may not, in general, explicitly consider the kinetic barriers governing microstructure evolution during processing [1]</w:t>
      </w:r>
      <w:r>
        <w:t>. A composition whose target phase lies on the DFT convex hull might still be difficult to realize in practice. It is our interest to examine a large language model (LLM)-hypothesized shape memory alloy (SMA). To the best of our knowledge, experimentally validated studies on this topic remain very rare.</w:t>
      </w:r>
    </w:p>
    <w:p w14:paraId="0A4C7B91" w14:textId="77777777" w:rsidR="002C34B5" w:rsidRDefault="00313D9C">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332D3069" w14:textId="5854B4F0" w:rsidR="002C34B5" w:rsidRDefault="00313D9C">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67A6F19A" w14:textId="77777777" w:rsidR="002C34B5" w:rsidRDefault="00313D9C">
      <w:r>
        <w:pict>
          <v:rect id="_x0000_i1027" style="width:0;height:1.5pt" o:hralign="center" o:hrstd="t" o:hr="t"/>
        </w:pict>
      </w:r>
    </w:p>
    <w:p w14:paraId="0A8F8966" w14:textId="77777777" w:rsidR="002C34B5" w:rsidRDefault="00313D9C">
      <w:pPr>
        <w:pStyle w:val="Heading1"/>
      </w:pPr>
      <w:bookmarkStart w:id="2" w:name="materials-and-experiments"/>
      <w:bookmarkEnd w:id="1"/>
      <w:r>
        <w:t>2. Materials and Experiments</w:t>
      </w:r>
    </w:p>
    <w:p w14:paraId="3F96C979" w14:textId="77777777" w:rsidR="002C34B5" w:rsidRDefault="00313D9C">
      <w:pPr>
        <w:pStyle w:val="Heading2"/>
      </w:pPr>
      <w:bookmarkStart w:id="3" w:name="alloy-design-and-synthesis"/>
      <w:r>
        <w:t>2.1 Alloy design and synthesis</w:t>
      </w:r>
    </w:p>
    <w:p w14:paraId="16BC025F" w14:textId="7D73FC21" w:rsidR="002C34B5" w:rsidRDefault="00313D9C">
      <w:pPr>
        <w:pStyle w:val="FirstParagraph"/>
      </w:pPr>
      <w:r>
        <w:t xml:space="preserve">The </w:t>
      </w:r>
      <w:r>
        <w:t>LLM</w:t>
      </w:r>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r>
        <w:t>LLM</w:t>
      </w:r>
      <w:r>
        <w:t xml:space="preserve">-alloy and </w:t>
      </w:r>
      <w:r>
        <w:t xml:space="preserve">benchmark </w:t>
      </w:r>
      <w:r>
        <w:t>alloy, respectively.</w:t>
      </w:r>
    </w:p>
    <w:p w14:paraId="45B3C111" w14:textId="1EFC8200" w:rsidR="002C34B5" w:rsidRDefault="00313D9C">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The benchmark alloy additionally carries 0.06 wt% (≈0.10 at%) phosphorus, a residual from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w:t>
      </w:r>
      <w:r>
        <w:t>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C0278C1" w14:textId="77777777" w:rsidR="002C34B5" w:rsidRDefault="00313D9C">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2C34B5" w14:paraId="43C4A85E" w14:textId="77777777" w:rsidTr="002C34B5">
        <w:trPr>
          <w:cnfStyle w:val="100000000000" w:firstRow="1" w:lastRow="0" w:firstColumn="0" w:lastColumn="0" w:oddVBand="0" w:evenVBand="0" w:oddHBand="0" w:evenHBand="0" w:firstRowFirstColumn="0" w:firstRowLastColumn="0" w:lastRowFirstColumn="0" w:lastRowLastColumn="0"/>
          <w:tblHeader/>
        </w:trPr>
        <w:tc>
          <w:tcPr>
            <w:tcW w:w="705" w:type="dxa"/>
          </w:tcPr>
          <w:p w14:paraId="25DF33D8" w14:textId="77777777" w:rsidR="002C34B5" w:rsidRDefault="00313D9C">
            <w:pPr>
              <w:pStyle w:val="Compact"/>
            </w:pPr>
            <w:r>
              <w:t>Element</w:t>
            </w:r>
          </w:p>
        </w:tc>
        <w:tc>
          <w:tcPr>
            <w:tcW w:w="1646" w:type="dxa"/>
          </w:tcPr>
          <w:p w14:paraId="7ED4B3FD" w14:textId="581404DA" w:rsidR="002C34B5" w:rsidRDefault="00313D9C">
            <w:pPr>
              <w:pStyle w:val="Compact"/>
            </w:pPr>
            <w:r>
              <w:t>LLM</w:t>
            </w:r>
            <w:r>
              <w:t>-alloy (nominal)</w:t>
            </w:r>
          </w:p>
        </w:tc>
        <w:tc>
          <w:tcPr>
            <w:tcW w:w="1646" w:type="dxa"/>
          </w:tcPr>
          <w:p w14:paraId="4109FEE6" w14:textId="130B0AA5" w:rsidR="002C34B5" w:rsidRDefault="00313D9C">
            <w:pPr>
              <w:pStyle w:val="Compact"/>
            </w:pPr>
            <w:r>
              <w:t>LLM</w:t>
            </w:r>
            <w:r>
              <w:t>-alloy (actual)</w:t>
            </w:r>
          </w:p>
        </w:tc>
        <w:tc>
          <w:tcPr>
            <w:tcW w:w="1960" w:type="dxa"/>
          </w:tcPr>
          <w:p w14:paraId="37849F7D" w14:textId="29A4218D" w:rsidR="002C34B5" w:rsidRDefault="00313D9C">
            <w:pPr>
              <w:pStyle w:val="Compact"/>
            </w:pPr>
            <w:r>
              <w:t xml:space="preserve">benchmark </w:t>
            </w:r>
            <w:r>
              <w:t>alloy (nominal)</w:t>
            </w:r>
          </w:p>
        </w:tc>
        <w:tc>
          <w:tcPr>
            <w:tcW w:w="1960" w:type="dxa"/>
          </w:tcPr>
          <w:p w14:paraId="75E74165" w14:textId="18A7EE40" w:rsidR="002C34B5" w:rsidRDefault="00313D9C">
            <w:pPr>
              <w:pStyle w:val="Compact"/>
            </w:pPr>
            <w:r>
              <w:t xml:space="preserve">benchmark </w:t>
            </w:r>
            <w:r>
              <w:t>alloy (actual)</w:t>
            </w:r>
          </w:p>
        </w:tc>
      </w:tr>
      <w:tr w:rsidR="002C34B5" w14:paraId="24DF6805" w14:textId="77777777">
        <w:tc>
          <w:tcPr>
            <w:tcW w:w="705" w:type="dxa"/>
          </w:tcPr>
          <w:p w14:paraId="6A7BEE8B" w14:textId="77777777" w:rsidR="002C34B5" w:rsidRDefault="00313D9C">
            <w:pPr>
              <w:pStyle w:val="Compact"/>
            </w:pPr>
            <w:r>
              <w:t>Fe</w:t>
            </w:r>
          </w:p>
        </w:tc>
        <w:tc>
          <w:tcPr>
            <w:tcW w:w="1646" w:type="dxa"/>
          </w:tcPr>
          <w:p w14:paraId="2F7B46E1" w14:textId="77777777" w:rsidR="002C34B5" w:rsidRDefault="00313D9C">
            <w:pPr>
              <w:pStyle w:val="Compact"/>
            </w:pPr>
            <w:r>
              <w:t>54.5</w:t>
            </w:r>
          </w:p>
        </w:tc>
        <w:tc>
          <w:tcPr>
            <w:tcW w:w="1646" w:type="dxa"/>
          </w:tcPr>
          <w:p w14:paraId="275AED4C" w14:textId="77777777" w:rsidR="002C34B5" w:rsidRDefault="00313D9C">
            <w:pPr>
              <w:pStyle w:val="Compact"/>
            </w:pPr>
            <w:r>
              <w:t>55.83</w:t>
            </w:r>
          </w:p>
        </w:tc>
        <w:tc>
          <w:tcPr>
            <w:tcW w:w="1960" w:type="dxa"/>
          </w:tcPr>
          <w:p w14:paraId="664E41FE" w14:textId="77777777" w:rsidR="002C34B5" w:rsidRDefault="00313D9C">
            <w:pPr>
              <w:pStyle w:val="Compact"/>
            </w:pPr>
            <w:r>
              <w:t>47.08</w:t>
            </w:r>
          </w:p>
        </w:tc>
        <w:tc>
          <w:tcPr>
            <w:tcW w:w="1960" w:type="dxa"/>
          </w:tcPr>
          <w:p w14:paraId="63468EC1" w14:textId="77777777" w:rsidR="002C34B5" w:rsidRDefault="00313D9C">
            <w:pPr>
              <w:pStyle w:val="Compact"/>
            </w:pPr>
            <w:r>
              <w:t>46.51</w:t>
            </w:r>
          </w:p>
        </w:tc>
      </w:tr>
      <w:tr w:rsidR="002C34B5" w14:paraId="5E2A1BF1" w14:textId="77777777">
        <w:tc>
          <w:tcPr>
            <w:tcW w:w="705" w:type="dxa"/>
          </w:tcPr>
          <w:p w14:paraId="29A63C7E" w14:textId="77777777" w:rsidR="002C34B5" w:rsidRDefault="00313D9C">
            <w:pPr>
              <w:pStyle w:val="Compact"/>
            </w:pPr>
            <w:r>
              <w:t>Mn</w:t>
            </w:r>
          </w:p>
        </w:tc>
        <w:tc>
          <w:tcPr>
            <w:tcW w:w="1646" w:type="dxa"/>
          </w:tcPr>
          <w:p w14:paraId="696B7BD9" w14:textId="77777777" w:rsidR="002C34B5" w:rsidRDefault="00313D9C">
            <w:pPr>
              <w:pStyle w:val="Compact"/>
            </w:pPr>
            <w:r>
              <w:t>32.3</w:t>
            </w:r>
          </w:p>
        </w:tc>
        <w:tc>
          <w:tcPr>
            <w:tcW w:w="1646" w:type="dxa"/>
          </w:tcPr>
          <w:p w14:paraId="5B7B1803" w14:textId="77777777" w:rsidR="002C34B5" w:rsidRDefault="00313D9C">
            <w:pPr>
              <w:pStyle w:val="Compact"/>
            </w:pPr>
            <w:r>
              <w:t>31.78</w:t>
            </w:r>
          </w:p>
        </w:tc>
        <w:tc>
          <w:tcPr>
            <w:tcW w:w="1960" w:type="dxa"/>
          </w:tcPr>
          <w:p w14:paraId="1C54FF50" w14:textId="77777777" w:rsidR="002C34B5" w:rsidRDefault="00313D9C">
            <w:pPr>
              <w:pStyle w:val="Compact"/>
            </w:pPr>
            <w:r>
              <w:t>36.43</w:t>
            </w:r>
          </w:p>
        </w:tc>
        <w:tc>
          <w:tcPr>
            <w:tcW w:w="1960" w:type="dxa"/>
          </w:tcPr>
          <w:p w14:paraId="03D359D6" w14:textId="77777777" w:rsidR="002C34B5" w:rsidRDefault="00313D9C">
            <w:pPr>
              <w:pStyle w:val="Compact"/>
            </w:pPr>
            <w:r>
              <w:t>36.49</w:t>
            </w:r>
          </w:p>
        </w:tc>
      </w:tr>
      <w:tr w:rsidR="002C34B5" w14:paraId="61325B44" w14:textId="77777777">
        <w:tc>
          <w:tcPr>
            <w:tcW w:w="705" w:type="dxa"/>
          </w:tcPr>
          <w:p w14:paraId="107EC50B" w14:textId="77777777" w:rsidR="002C34B5" w:rsidRDefault="00313D9C">
            <w:pPr>
              <w:pStyle w:val="Compact"/>
            </w:pPr>
            <w:r>
              <w:t>Al</w:t>
            </w:r>
          </w:p>
        </w:tc>
        <w:tc>
          <w:tcPr>
            <w:tcW w:w="1646" w:type="dxa"/>
          </w:tcPr>
          <w:p w14:paraId="6A59FE53" w14:textId="77777777" w:rsidR="002C34B5" w:rsidRDefault="00313D9C">
            <w:pPr>
              <w:pStyle w:val="Compact"/>
            </w:pPr>
            <w:r>
              <w:t>6.4</w:t>
            </w:r>
          </w:p>
        </w:tc>
        <w:tc>
          <w:tcPr>
            <w:tcW w:w="1646" w:type="dxa"/>
          </w:tcPr>
          <w:p w14:paraId="197EB35C" w14:textId="77777777" w:rsidR="002C34B5" w:rsidRDefault="00313D9C">
            <w:pPr>
              <w:pStyle w:val="Compact"/>
            </w:pPr>
            <w:r>
              <w:t>6.24</w:t>
            </w:r>
          </w:p>
        </w:tc>
        <w:tc>
          <w:tcPr>
            <w:tcW w:w="1960" w:type="dxa"/>
          </w:tcPr>
          <w:p w14:paraId="2CB397E8" w14:textId="77777777" w:rsidR="002C34B5" w:rsidRDefault="00313D9C">
            <w:pPr>
              <w:pStyle w:val="Compact"/>
            </w:pPr>
            <w:r>
              <w:t>7.9</w:t>
            </w:r>
          </w:p>
        </w:tc>
        <w:tc>
          <w:tcPr>
            <w:tcW w:w="1960" w:type="dxa"/>
          </w:tcPr>
          <w:p w14:paraId="00D75DB3" w14:textId="77777777" w:rsidR="002C34B5" w:rsidRDefault="00313D9C">
            <w:pPr>
              <w:pStyle w:val="Compact"/>
            </w:pPr>
            <w:r>
              <w:t>8.00</w:t>
            </w:r>
          </w:p>
        </w:tc>
      </w:tr>
      <w:tr w:rsidR="002C34B5" w14:paraId="16352B8D" w14:textId="77777777">
        <w:tc>
          <w:tcPr>
            <w:tcW w:w="705" w:type="dxa"/>
          </w:tcPr>
          <w:p w14:paraId="63E4253B" w14:textId="77777777" w:rsidR="002C34B5" w:rsidRDefault="00313D9C">
            <w:pPr>
              <w:pStyle w:val="Compact"/>
            </w:pPr>
            <w:r>
              <w:t>Ni</w:t>
            </w:r>
          </w:p>
        </w:tc>
        <w:tc>
          <w:tcPr>
            <w:tcW w:w="1646" w:type="dxa"/>
          </w:tcPr>
          <w:p w14:paraId="42753275" w14:textId="77777777" w:rsidR="002C34B5" w:rsidRDefault="00313D9C">
            <w:pPr>
              <w:pStyle w:val="Compact"/>
            </w:pPr>
            <w:r>
              <w:t>4.6</w:t>
            </w:r>
          </w:p>
        </w:tc>
        <w:tc>
          <w:tcPr>
            <w:tcW w:w="1646" w:type="dxa"/>
          </w:tcPr>
          <w:p w14:paraId="251D8D2B" w14:textId="77777777" w:rsidR="002C34B5" w:rsidRDefault="00313D9C">
            <w:pPr>
              <w:pStyle w:val="Compact"/>
            </w:pPr>
            <w:r>
              <w:t>4.81</w:t>
            </w:r>
          </w:p>
        </w:tc>
        <w:tc>
          <w:tcPr>
            <w:tcW w:w="1960" w:type="dxa"/>
          </w:tcPr>
          <w:p w14:paraId="79BD7C37" w14:textId="77777777" w:rsidR="002C34B5" w:rsidRDefault="00313D9C">
            <w:pPr>
              <w:pStyle w:val="Compact"/>
            </w:pPr>
            <w:r>
              <w:t>8.59</w:t>
            </w:r>
          </w:p>
        </w:tc>
        <w:tc>
          <w:tcPr>
            <w:tcW w:w="1960" w:type="dxa"/>
          </w:tcPr>
          <w:p w14:paraId="755342C3" w14:textId="77777777" w:rsidR="002C34B5" w:rsidRDefault="00313D9C">
            <w:pPr>
              <w:pStyle w:val="Compact"/>
            </w:pPr>
            <w:r>
              <w:t>8.94</w:t>
            </w:r>
          </w:p>
        </w:tc>
      </w:tr>
      <w:tr w:rsidR="002C34B5" w14:paraId="0D8027C9" w14:textId="77777777">
        <w:tc>
          <w:tcPr>
            <w:tcW w:w="705" w:type="dxa"/>
          </w:tcPr>
          <w:p w14:paraId="10D48BAE" w14:textId="77777777" w:rsidR="002C34B5" w:rsidRDefault="00313D9C">
            <w:pPr>
              <w:pStyle w:val="Compact"/>
            </w:pPr>
            <w:r>
              <w:t>Si</w:t>
            </w:r>
          </w:p>
        </w:tc>
        <w:tc>
          <w:tcPr>
            <w:tcW w:w="1646" w:type="dxa"/>
          </w:tcPr>
          <w:p w14:paraId="44FF4251" w14:textId="77777777" w:rsidR="002C34B5" w:rsidRDefault="00313D9C">
            <w:pPr>
              <w:pStyle w:val="Compact"/>
            </w:pPr>
            <w:r>
              <w:t>2.2</w:t>
            </w:r>
          </w:p>
        </w:tc>
        <w:tc>
          <w:tcPr>
            <w:tcW w:w="1646" w:type="dxa"/>
          </w:tcPr>
          <w:p w14:paraId="0F9FE86F" w14:textId="77777777" w:rsidR="002C34B5" w:rsidRDefault="00313D9C">
            <w:pPr>
              <w:pStyle w:val="Compact"/>
            </w:pPr>
            <w:r>
              <w:t>1.11</w:t>
            </w:r>
          </w:p>
        </w:tc>
        <w:tc>
          <w:tcPr>
            <w:tcW w:w="1960" w:type="dxa"/>
          </w:tcPr>
          <w:p w14:paraId="04A496FC" w14:textId="77777777" w:rsidR="002C34B5" w:rsidRDefault="00313D9C">
            <w:pPr>
              <w:pStyle w:val="Compact"/>
            </w:pPr>
            <w:r>
              <w:t>–</w:t>
            </w:r>
          </w:p>
        </w:tc>
        <w:tc>
          <w:tcPr>
            <w:tcW w:w="1960" w:type="dxa"/>
          </w:tcPr>
          <w:p w14:paraId="3940FEEA" w14:textId="77777777" w:rsidR="002C34B5" w:rsidRDefault="00313D9C">
            <w:pPr>
              <w:pStyle w:val="Compact"/>
            </w:pPr>
            <w:r>
              <w:t>&lt;0.01</w:t>
            </w:r>
          </w:p>
        </w:tc>
      </w:tr>
      <w:tr w:rsidR="002C34B5" w14:paraId="44F64AD3" w14:textId="77777777">
        <w:tc>
          <w:tcPr>
            <w:tcW w:w="705" w:type="dxa"/>
          </w:tcPr>
          <w:p w14:paraId="0882F628" w14:textId="77777777" w:rsidR="002C34B5" w:rsidRDefault="00313D9C">
            <w:pPr>
              <w:pStyle w:val="Compact"/>
            </w:pPr>
            <w:r>
              <w:t>C</w:t>
            </w:r>
          </w:p>
        </w:tc>
        <w:tc>
          <w:tcPr>
            <w:tcW w:w="1646" w:type="dxa"/>
          </w:tcPr>
          <w:p w14:paraId="232A0F7C" w14:textId="77777777" w:rsidR="002C34B5" w:rsidRDefault="00313D9C">
            <w:pPr>
              <w:pStyle w:val="Compact"/>
            </w:pPr>
            <w:r>
              <w:t>0.1</w:t>
            </w:r>
          </w:p>
        </w:tc>
        <w:tc>
          <w:tcPr>
            <w:tcW w:w="1646" w:type="dxa"/>
          </w:tcPr>
          <w:p w14:paraId="1FA0CF4E" w14:textId="77777777" w:rsidR="002C34B5" w:rsidRDefault="00313D9C">
            <w:pPr>
              <w:pStyle w:val="Compact"/>
            </w:pPr>
            <w:r>
              <w:t>0.105</w:t>
            </w:r>
          </w:p>
        </w:tc>
        <w:tc>
          <w:tcPr>
            <w:tcW w:w="1960" w:type="dxa"/>
          </w:tcPr>
          <w:p w14:paraId="773DB335" w14:textId="77777777" w:rsidR="002C34B5" w:rsidRDefault="00313D9C">
            <w:pPr>
              <w:pStyle w:val="Compact"/>
            </w:pPr>
            <w:r>
              <w:t>–</w:t>
            </w:r>
          </w:p>
        </w:tc>
        <w:tc>
          <w:tcPr>
            <w:tcW w:w="1960" w:type="dxa"/>
          </w:tcPr>
          <w:p w14:paraId="1510EA39" w14:textId="77777777" w:rsidR="002C34B5" w:rsidRDefault="00313D9C">
            <w:pPr>
              <w:pStyle w:val="Compact"/>
            </w:pPr>
            <w:r>
              <w:t>0.01</w:t>
            </w:r>
          </w:p>
        </w:tc>
      </w:tr>
      <w:tr w:rsidR="002C34B5" w14:paraId="0DF32128" w14:textId="77777777">
        <w:tc>
          <w:tcPr>
            <w:tcW w:w="705" w:type="dxa"/>
          </w:tcPr>
          <w:p w14:paraId="37A14A62" w14:textId="77777777" w:rsidR="002C34B5" w:rsidRDefault="00313D9C">
            <w:pPr>
              <w:pStyle w:val="Compact"/>
            </w:pPr>
            <w:r>
              <w:t>P</w:t>
            </w:r>
          </w:p>
        </w:tc>
        <w:tc>
          <w:tcPr>
            <w:tcW w:w="1646" w:type="dxa"/>
          </w:tcPr>
          <w:p w14:paraId="41AF6140" w14:textId="77777777" w:rsidR="002C34B5" w:rsidRDefault="00313D9C">
            <w:pPr>
              <w:pStyle w:val="Compact"/>
            </w:pPr>
            <w:r>
              <w:t>–</w:t>
            </w:r>
          </w:p>
        </w:tc>
        <w:tc>
          <w:tcPr>
            <w:tcW w:w="1646" w:type="dxa"/>
          </w:tcPr>
          <w:p w14:paraId="0032B151" w14:textId="77777777" w:rsidR="002C34B5" w:rsidRDefault="00313D9C">
            <w:pPr>
              <w:pStyle w:val="Compact"/>
            </w:pPr>
            <w:r>
              <w:t>–</w:t>
            </w:r>
          </w:p>
        </w:tc>
        <w:tc>
          <w:tcPr>
            <w:tcW w:w="1960" w:type="dxa"/>
          </w:tcPr>
          <w:p w14:paraId="33C91478" w14:textId="77777777" w:rsidR="002C34B5" w:rsidRDefault="00313D9C">
            <w:pPr>
              <w:pStyle w:val="Compact"/>
            </w:pPr>
            <w:r>
              <w:t>–</w:t>
            </w:r>
          </w:p>
        </w:tc>
        <w:tc>
          <w:tcPr>
            <w:tcW w:w="1960" w:type="dxa"/>
          </w:tcPr>
          <w:p w14:paraId="4423013C" w14:textId="77777777" w:rsidR="002C34B5" w:rsidRDefault="00313D9C">
            <w:pPr>
              <w:pStyle w:val="Compact"/>
            </w:pPr>
            <w:r>
              <w:t>0.06</w:t>
            </w:r>
          </w:p>
        </w:tc>
      </w:tr>
    </w:tbl>
    <w:p w14:paraId="434BC483" w14:textId="77777777" w:rsidR="002C34B5" w:rsidRDefault="00313D9C">
      <w:pPr>
        <w:pStyle w:val="Heading2"/>
      </w:pPr>
      <w:bookmarkStart w:id="4" w:name="heat-treatments"/>
      <w:bookmarkEnd w:id="3"/>
      <w:r>
        <w:t>2.2 Heat treatments</w:t>
      </w:r>
    </w:p>
    <w:p w14:paraId="4CBEAC48" w14:textId="77777777" w:rsidR="002C34B5" w:rsidRDefault="00313D9C">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[16]. Heat treatment above 1200 °C caused severe oxidation or furnace contamination.</w:t>
      </w:r>
    </w:p>
    <w:p w14:paraId="49E42610" w14:textId="77777777" w:rsidR="002C34B5" w:rsidRDefault="00313D9C">
      <w:pPr>
        <w:pStyle w:val="Heading2"/>
      </w:pPr>
      <w:bookmarkStart w:id="5" w:name="metallography"/>
      <w:bookmarkEnd w:id="4"/>
      <w:r>
        <w:t>2.3 Metallography</w:t>
      </w:r>
    </w:p>
    <w:p w14:paraId="509520D5" w14:textId="77777777" w:rsidR="002C34B5" w:rsidRDefault="00313D9C">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0419703D" w14:textId="77777777" w:rsidR="002C34B5" w:rsidRDefault="00313D9C">
      <w:pPr>
        <w:pStyle w:val="Heading2"/>
      </w:pPr>
      <w:bookmarkStart w:id="6" w:name="mechanical-testing"/>
      <w:bookmarkEnd w:id="5"/>
      <w:r>
        <w:t>2.4 Mechanical testing</w:t>
      </w:r>
    </w:p>
    <w:p w14:paraId="5EF37401" w14:textId="10648981" w:rsidR="002C34B5" w:rsidRDefault="00313D9C">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3CB62BC5" w14:textId="77777777" w:rsidR="002C34B5" w:rsidRDefault="00313D9C">
      <w:pPr>
        <w:pStyle w:val="Heading2"/>
      </w:pPr>
      <w:bookmarkStart w:id="7" w:name="synchrotron-x-ray-diffraction"/>
      <w:bookmarkEnd w:id="6"/>
      <w:r>
        <w:t>2.5 Synchrotron X-ray diffraction</w:t>
      </w:r>
    </w:p>
    <w:p w14:paraId="33BA0380" w14:textId="7BFBCE29" w:rsidR="002C34B5" w:rsidRDefault="00313D9C">
      <w:pPr>
        <w:pStyle w:val="FirstParagraph"/>
      </w:pPr>
      <w:r>
        <w:t>To identify phase constitution and potential phase change, synchrotron XRD measurements were performed at the ultra-hard X-ray multifunctional application beamline BL12SW of the Shanghai Synchrotron Radiation Facility (SSRF) [17,18]</w:t>
      </w:r>
      <w:r>
        <w:t xml:space="preserve">. The incident wavelength was λ = 0.12587 Å with a beam size of 0.5 × 0.5 mm². Two-dimensional Debye–Scherrer patterns were collected from each specimen before and after tensile deformation to test for any potential phase transformation. These 2D images were processed using FIT2D [19], where diffraction data were sliced at 5-degree intervals along the 360-degree azimuth and integrated to generate 72 diffraction spectra, which were then fitted by Rietveld refinement [20] in MAUD </w:t>
      </w:r>
      <w:r>
        <w:t>version 2.33</w:t>
      </w:r>
      <w:r>
        <w:t xml:space="preserve"> [21]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022524AA" w14:textId="77777777" w:rsidR="002C34B5" w:rsidRDefault="00313D9C">
      <w:pPr>
        <w:pStyle w:val="Heading2"/>
      </w:pPr>
      <w:bookmarkStart w:id="8" w:name="equilibrium-thermodynamic-calculations"/>
      <w:bookmarkEnd w:id="7"/>
      <w:r>
        <w:t>2.6 Equilibrium thermodynamic calculations</w:t>
      </w:r>
    </w:p>
    <w:p w14:paraId="65FC3518" w14:textId="77777777" w:rsidR="002C34B5" w:rsidRDefault="00313D9C">
      <w:pPr>
        <w:pStyle w:val="FirstParagraph"/>
      </w:pPr>
      <w:r>
        <w:t xml:space="preserve">Equilibrium phase fractions were computed with the CALPHAD method [22] using pycalphad 0.11.2, an open-source Python implementation of the Gibbs-energy-minimization formalism [23].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178DC16D" w14:textId="77777777" w:rsidR="002C34B5" w:rsidRDefault="00313D9C">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[24,25]</w:t>
      </w:r>
      <w:r>
        <w:t xml:space="preserve">, the only one covering Fe–Mn–Al–Ni–C together, in which B2 is treated as an ordered partition of the disordered A2 lattice; it does not contain Si. </w:t>
      </w:r>
      <w:r>
        <w:rPr>
          <w:b/>
          <w:bCs/>
        </w:rPr>
        <w:t>PrecHiMn-04</w:t>
      </w:r>
      <w:r>
        <w:t xml:space="preserve"> [26] was used as a cross-check because it is the only one that models D0₃ (through a four-sublattice bcc description) and κ-(Fe,Mn)₃AlC while also carrying Si, though it contains no Ni. </w:t>
      </w:r>
      <w:r>
        <w:rPr>
          <w:b/>
          <w:bCs/>
        </w:rPr>
        <w:t>mc_fe v2.059</w:t>
      </w:r>
      <w:r>
        <w:t xml:space="preserve"> [27]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344225B3" w14:textId="77777777" w:rsidR="002C34B5" w:rsidRDefault="00313D9C">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68AD1938" w14:textId="77777777" w:rsidR="002C34B5" w:rsidRDefault="00313D9C">
      <w:r>
        <w:pict>
          <v:rect id="_x0000_i1028" style="width:0;height:1.5pt" o:hralign="center" o:hrstd="t" o:hr="t"/>
        </w:pict>
      </w:r>
    </w:p>
    <w:p w14:paraId="53AD6756" w14:textId="77777777" w:rsidR="002C34B5" w:rsidRDefault="00313D9C">
      <w:pPr>
        <w:pStyle w:val="Heading1"/>
      </w:pPr>
      <w:bookmarkStart w:id="9" w:name="experiment-results"/>
      <w:bookmarkEnd w:id="2"/>
      <w:bookmarkEnd w:id="8"/>
      <w:r>
        <w:t>3. Experiment Results</w:t>
      </w:r>
    </w:p>
    <w:p w14:paraId="3E6240F5" w14:textId="77777777" w:rsidR="002C34B5" w:rsidRDefault="00313D9C">
      <w:pPr>
        <w:pStyle w:val="Heading2"/>
      </w:pPr>
      <w:bookmarkStart w:id="10" w:name="microstructure"/>
      <w:r>
        <w:t>3.1 Microstructure</w:t>
      </w:r>
    </w:p>
    <w:p w14:paraId="5A62D45D" w14:textId="2EAF37DC" w:rsidR="002C34B5" w:rsidRDefault="00313D9C">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1C79DA11" w14:textId="77777777" w:rsidR="002C34B5" w:rsidRDefault="00313D9C">
      <w:pPr>
        <w:pStyle w:val="CaptionedFigure"/>
      </w:pPr>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p>
    <w:p w14:paraId="09AF6F55" w14:textId="53A06AE8" w:rsidR="002C34B5" w:rsidRDefault="00313D9C">
      <w:pPr>
        <w:pStyle w:val="ImageCaption"/>
      </w:pPr>
      <w:r>
        <w:rPr>
          <w:b/>
          <w:bCs/>
        </w:rPr>
        <w:t>Fig. 1.</w:t>
      </w:r>
      <w:r>
        <w:t xml:space="preserve"> </w:t>
      </w:r>
      <w:r>
        <w:t xml:space="preserve">Microstructure of the </w:t>
      </w:r>
      <w:r>
        <w:t>LLM-</w:t>
      </w:r>
      <w:r>
        <w:t>alloy after heat treatment: (a) 1200 °C, 1 min, optical; (b) 1200 °C, 1 min, SEM; (c) 1200 °C, 40 min, optical.</w:t>
      </w:r>
    </w:p>
    <w:p w14:paraId="2A4EC95A" w14:textId="77777777" w:rsidR="002C34B5" w:rsidRDefault="00313D9C">
      <w:pPr>
        <w:pStyle w:val="Heading2"/>
      </w:pPr>
      <w:bookmarkStart w:id="11" w:name="cyclic-stressstrain-response"/>
      <w:bookmarkEnd w:id="10"/>
      <w:r>
        <w:t>3.2 Cyclic stress–strain response</w:t>
      </w:r>
    </w:p>
    <w:p w14:paraId="2B8F4163" w14:textId="2393D6B7" w:rsidR="002C34B5" w:rsidRDefault="00313D9C">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28,29</w:t>
      </w:r>
      <w:r>
        <w:t xml:space="preserve">]; this was not the case for the </w:t>
      </w:r>
      <w:r>
        <w:t>LLM-</w:t>
      </w:r>
      <w:r>
        <w:t>alloy (</w:t>
      </w:r>
      <w:r>
        <w:rPr>
          <w:b/>
          <w:bCs/>
        </w:rPr>
        <w:t>Fig. 2f</w:t>
      </w:r>
      <w:r>
        <w:t>).</w:t>
      </w:r>
    </w:p>
    <w:p w14:paraId="31CC3594" w14:textId="79A0F209" w:rsidR="002C34B5" w:rsidRDefault="00313D9C">
      <w:pPr>
        <w:pStyle w:val="BodyText"/>
      </w:pPr>
      <w:r>
        <w:rPr>
          <w:b/>
          <w:bCs/>
        </w:rPr>
        <w:t>Table 2.</w:t>
      </w:r>
      <w:r>
        <w:t xml:space="preserve"> Mechanical properties of the </w:t>
      </w:r>
      <w:r>
        <w:t>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2C34B5" w14:paraId="498434EA" w14:textId="77777777" w:rsidTr="002C34B5">
        <w:trPr>
          <w:cnfStyle w:val="100000000000" w:firstRow="1" w:lastRow="0" w:firstColumn="0" w:lastColumn="0" w:oddVBand="0" w:evenVBand="0" w:oddHBand="0" w:evenHBand="0" w:firstRowFirstColumn="0" w:firstRowLastColumn="0" w:lastRowFirstColumn="0" w:lastRowLastColumn="0"/>
          <w:tblHeader/>
        </w:trPr>
        <w:tc>
          <w:tcPr>
            <w:tcW w:w="0" w:type="auto"/>
          </w:tcPr>
          <w:p w14:paraId="0230349A" w14:textId="77777777" w:rsidR="002C34B5" w:rsidRDefault="00313D9C">
            <w:pPr>
              <w:pStyle w:val="Compact"/>
            </w:pPr>
            <w:r>
              <w:t>Temp. (°C)</w:t>
            </w:r>
          </w:p>
        </w:tc>
        <w:tc>
          <w:tcPr>
            <w:tcW w:w="0" w:type="auto"/>
          </w:tcPr>
          <w:p w14:paraId="0E5EB684" w14:textId="77777777" w:rsidR="002C34B5" w:rsidRDefault="00313D9C">
            <w:pPr>
              <w:pStyle w:val="Compact"/>
            </w:pPr>
            <w:r>
              <w:t>σ₀.₂ (MPa)</w:t>
            </w:r>
          </w:p>
        </w:tc>
        <w:tc>
          <w:tcPr>
            <w:tcW w:w="0" w:type="auto"/>
          </w:tcPr>
          <w:p w14:paraId="628C8CC4" w14:textId="77777777" w:rsidR="002C34B5" w:rsidRDefault="00313D9C">
            <w:pPr>
              <w:pStyle w:val="Compact"/>
            </w:pPr>
            <w:r>
              <w:t>UTS (MPa)</w:t>
            </w:r>
          </w:p>
        </w:tc>
        <w:tc>
          <w:tcPr>
            <w:tcW w:w="0" w:type="auto"/>
          </w:tcPr>
          <w:p w14:paraId="45012F7E" w14:textId="77777777" w:rsidR="002C34B5" w:rsidRDefault="00313D9C">
            <w:pPr>
              <w:pStyle w:val="Compact"/>
            </w:pPr>
            <w:r>
              <w:t>Elong. (%)</w:t>
            </w:r>
          </w:p>
        </w:tc>
        <w:tc>
          <w:tcPr>
            <w:tcW w:w="0" w:type="auto"/>
          </w:tcPr>
          <w:p w14:paraId="5987CB04" w14:textId="77777777" w:rsidR="002C34B5" w:rsidRDefault="00313D9C">
            <w:pPr>
              <w:pStyle w:val="Compact"/>
            </w:pPr>
            <w:r>
              <w:t>E (GPa)</w:t>
            </w:r>
          </w:p>
        </w:tc>
      </w:tr>
      <w:tr w:rsidR="002C34B5" w14:paraId="7B6BE6B7" w14:textId="77777777">
        <w:tc>
          <w:tcPr>
            <w:tcW w:w="0" w:type="auto"/>
          </w:tcPr>
          <w:p w14:paraId="6FEED464" w14:textId="77777777" w:rsidR="002C34B5" w:rsidRDefault="00313D9C">
            <w:pPr>
              <w:pStyle w:val="Compact"/>
            </w:pPr>
            <w:r>
              <w:t>As drawn</w:t>
            </w:r>
          </w:p>
        </w:tc>
        <w:tc>
          <w:tcPr>
            <w:tcW w:w="0" w:type="auto"/>
          </w:tcPr>
          <w:p w14:paraId="3856E2EF" w14:textId="77777777" w:rsidR="002C34B5" w:rsidRDefault="00313D9C">
            <w:pPr>
              <w:pStyle w:val="Compact"/>
            </w:pPr>
            <w:r>
              <w:t>1528</w:t>
            </w:r>
          </w:p>
        </w:tc>
        <w:tc>
          <w:tcPr>
            <w:tcW w:w="0" w:type="auto"/>
          </w:tcPr>
          <w:p w14:paraId="784CC629" w14:textId="77777777" w:rsidR="002C34B5" w:rsidRDefault="00313D9C">
            <w:pPr>
              <w:pStyle w:val="Compact"/>
            </w:pPr>
            <w:r>
              <w:t>1925</w:t>
            </w:r>
          </w:p>
        </w:tc>
        <w:tc>
          <w:tcPr>
            <w:tcW w:w="0" w:type="auto"/>
          </w:tcPr>
          <w:p w14:paraId="345AFCD8" w14:textId="77777777" w:rsidR="002C34B5" w:rsidRDefault="00313D9C">
            <w:pPr>
              <w:pStyle w:val="Compact"/>
            </w:pPr>
            <w:r>
              <w:t>2.0</w:t>
            </w:r>
          </w:p>
        </w:tc>
        <w:tc>
          <w:tcPr>
            <w:tcW w:w="0" w:type="auto"/>
          </w:tcPr>
          <w:p w14:paraId="21A2BE51" w14:textId="77777777" w:rsidR="002C34B5" w:rsidRDefault="00313D9C">
            <w:pPr>
              <w:pStyle w:val="Compact"/>
            </w:pPr>
            <w:r>
              <w:t>143.7</w:t>
            </w:r>
          </w:p>
        </w:tc>
      </w:tr>
      <w:tr w:rsidR="002C34B5" w14:paraId="3A65C69C" w14:textId="77777777">
        <w:tc>
          <w:tcPr>
            <w:tcW w:w="0" w:type="auto"/>
          </w:tcPr>
          <w:p w14:paraId="757EEAA5" w14:textId="77777777" w:rsidR="002C34B5" w:rsidRDefault="00313D9C">
            <w:pPr>
              <w:pStyle w:val="Compact"/>
            </w:pPr>
            <w:r>
              <w:t>600</w:t>
            </w:r>
          </w:p>
        </w:tc>
        <w:tc>
          <w:tcPr>
            <w:tcW w:w="0" w:type="auto"/>
          </w:tcPr>
          <w:p w14:paraId="20FCB900" w14:textId="77777777" w:rsidR="002C34B5" w:rsidRDefault="00313D9C">
            <w:pPr>
              <w:pStyle w:val="Compact"/>
            </w:pPr>
            <w:r>
              <w:t>1948</w:t>
            </w:r>
          </w:p>
        </w:tc>
        <w:tc>
          <w:tcPr>
            <w:tcW w:w="0" w:type="auto"/>
          </w:tcPr>
          <w:p w14:paraId="1A51EE9F" w14:textId="77777777" w:rsidR="002C34B5" w:rsidRDefault="00313D9C">
            <w:pPr>
              <w:pStyle w:val="Compact"/>
            </w:pPr>
            <w:r>
              <w:t>2293</w:t>
            </w:r>
          </w:p>
        </w:tc>
        <w:tc>
          <w:tcPr>
            <w:tcW w:w="0" w:type="auto"/>
          </w:tcPr>
          <w:p w14:paraId="543C1763" w14:textId="77777777" w:rsidR="002C34B5" w:rsidRDefault="00313D9C">
            <w:pPr>
              <w:pStyle w:val="Compact"/>
            </w:pPr>
            <w:r>
              <w:t>2.3</w:t>
            </w:r>
          </w:p>
        </w:tc>
        <w:tc>
          <w:tcPr>
            <w:tcW w:w="0" w:type="auto"/>
          </w:tcPr>
          <w:p w14:paraId="205A11B3" w14:textId="77777777" w:rsidR="002C34B5" w:rsidRDefault="00313D9C">
            <w:pPr>
              <w:pStyle w:val="Compact"/>
            </w:pPr>
            <w:r>
              <w:t>157.4</w:t>
            </w:r>
          </w:p>
        </w:tc>
      </w:tr>
      <w:tr w:rsidR="002C34B5" w14:paraId="294AC73B" w14:textId="77777777">
        <w:tc>
          <w:tcPr>
            <w:tcW w:w="0" w:type="auto"/>
          </w:tcPr>
          <w:p w14:paraId="6D812C8E" w14:textId="77777777" w:rsidR="002C34B5" w:rsidRDefault="00313D9C">
            <w:pPr>
              <w:pStyle w:val="Compact"/>
            </w:pPr>
            <w:r>
              <w:t>700</w:t>
            </w:r>
          </w:p>
        </w:tc>
        <w:tc>
          <w:tcPr>
            <w:tcW w:w="0" w:type="auto"/>
          </w:tcPr>
          <w:p w14:paraId="0F973448" w14:textId="77777777" w:rsidR="002C34B5" w:rsidRDefault="00313D9C">
            <w:pPr>
              <w:pStyle w:val="Compact"/>
            </w:pPr>
            <w:r>
              <w:t>1683</w:t>
            </w:r>
          </w:p>
        </w:tc>
        <w:tc>
          <w:tcPr>
            <w:tcW w:w="0" w:type="auto"/>
          </w:tcPr>
          <w:p w14:paraId="36BD68D3" w14:textId="77777777" w:rsidR="002C34B5" w:rsidRDefault="00313D9C">
            <w:pPr>
              <w:pStyle w:val="Compact"/>
            </w:pPr>
            <w:r>
              <w:t>2009</w:t>
            </w:r>
          </w:p>
        </w:tc>
        <w:tc>
          <w:tcPr>
            <w:tcW w:w="0" w:type="auto"/>
          </w:tcPr>
          <w:p w14:paraId="1B6B491C" w14:textId="77777777" w:rsidR="002C34B5" w:rsidRDefault="00313D9C">
            <w:pPr>
              <w:pStyle w:val="Compact"/>
            </w:pPr>
            <w:r>
              <w:t>2.2</w:t>
            </w:r>
          </w:p>
        </w:tc>
        <w:tc>
          <w:tcPr>
            <w:tcW w:w="0" w:type="auto"/>
          </w:tcPr>
          <w:p w14:paraId="7DE08492" w14:textId="77777777" w:rsidR="002C34B5" w:rsidRDefault="00313D9C">
            <w:pPr>
              <w:pStyle w:val="Compact"/>
            </w:pPr>
            <w:r>
              <w:t>164.8</w:t>
            </w:r>
          </w:p>
        </w:tc>
      </w:tr>
      <w:tr w:rsidR="002C34B5" w14:paraId="4A71DE6B" w14:textId="77777777">
        <w:tc>
          <w:tcPr>
            <w:tcW w:w="0" w:type="auto"/>
          </w:tcPr>
          <w:p w14:paraId="34C9F561" w14:textId="77777777" w:rsidR="002C34B5" w:rsidRDefault="00313D9C">
            <w:pPr>
              <w:pStyle w:val="Compact"/>
            </w:pPr>
            <w:r>
              <w:t>800</w:t>
            </w:r>
          </w:p>
        </w:tc>
        <w:tc>
          <w:tcPr>
            <w:tcW w:w="0" w:type="auto"/>
          </w:tcPr>
          <w:p w14:paraId="42D76700" w14:textId="77777777" w:rsidR="002C34B5" w:rsidRDefault="00313D9C">
            <w:pPr>
              <w:pStyle w:val="Compact"/>
            </w:pPr>
            <w:r>
              <w:t>1167</w:t>
            </w:r>
          </w:p>
        </w:tc>
        <w:tc>
          <w:tcPr>
            <w:tcW w:w="0" w:type="auto"/>
          </w:tcPr>
          <w:p w14:paraId="5C973FE4" w14:textId="77777777" w:rsidR="002C34B5" w:rsidRDefault="00313D9C">
            <w:pPr>
              <w:pStyle w:val="Compact"/>
            </w:pPr>
            <w:r>
              <w:t>1216</w:t>
            </w:r>
          </w:p>
        </w:tc>
        <w:tc>
          <w:tcPr>
            <w:tcW w:w="0" w:type="auto"/>
          </w:tcPr>
          <w:p w14:paraId="317B0650" w14:textId="77777777" w:rsidR="002C34B5" w:rsidRDefault="00313D9C">
            <w:pPr>
              <w:pStyle w:val="Compact"/>
            </w:pPr>
            <w:r>
              <w:t>24.0</w:t>
            </w:r>
          </w:p>
        </w:tc>
        <w:tc>
          <w:tcPr>
            <w:tcW w:w="0" w:type="auto"/>
          </w:tcPr>
          <w:p w14:paraId="57AE07E6" w14:textId="77777777" w:rsidR="002C34B5" w:rsidRDefault="00313D9C">
            <w:pPr>
              <w:pStyle w:val="Compact"/>
            </w:pPr>
            <w:r>
              <w:t>155.5</w:t>
            </w:r>
          </w:p>
        </w:tc>
      </w:tr>
      <w:tr w:rsidR="002C34B5" w14:paraId="6BB2A205" w14:textId="77777777">
        <w:tc>
          <w:tcPr>
            <w:tcW w:w="0" w:type="auto"/>
          </w:tcPr>
          <w:p w14:paraId="0D6E7CE0" w14:textId="77777777" w:rsidR="002C34B5" w:rsidRDefault="00313D9C">
            <w:pPr>
              <w:pStyle w:val="Compact"/>
            </w:pPr>
            <w:r>
              <w:t>900</w:t>
            </w:r>
          </w:p>
        </w:tc>
        <w:tc>
          <w:tcPr>
            <w:tcW w:w="0" w:type="auto"/>
          </w:tcPr>
          <w:p w14:paraId="62B95439" w14:textId="77777777" w:rsidR="002C34B5" w:rsidRDefault="00313D9C">
            <w:pPr>
              <w:pStyle w:val="Compact"/>
            </w:pPr>
            <w:r>
              <w:t>944</w:t>
            </w:r>
          </w:p>
        </w:tc>
        <w:tc>
          <w:tcPr>
            <w:tcW w:w="0" w:type="auto"/>
          </w:tcPr>
          <w:p w14:paraId="7AE0E70B" w14:textId="77777777" w:rsidR="002C34B5" w:rsidRDefault="00313D9C">
            <w:pPr>
              <w:pStyle w:val="Compact"/>
            </w:pPr>
            <w:r>
              <w:t>1078</w:t>
            </w:r>
          </w:p>
        </w:tc>
        <w:tc>
          <w:tcPr>
            <w:tcW w:w="0" w:type="auto"/>
          </w:tcPr>
          <w:p w14:paraId="210C971F" w14:textId="77777777" w:rsidR="002C34B5" w:rsidRDefault="00313D9C">
            <w:pPr>
              <w:pStyle w:val="Compact"/>
            </w:pPr>
            <w:r>
              <w:t>29.7</w:t>
            </w:r>
          </w:p>
        </w:tc>
        <w:tc>
          <w:tcPr>
            <w:tcW w:w="0" w:type="auto"/>
          </w:tcPr>
          <w:p w14:paraId="7B0E3921" w14:textId="77777777" w:rsidR="002C34B5" w:rsidRDefault="00313D9C">
            <w:pPr>
              <w:pStyle w:val="Compact"/>
            </w:pPr>
            <w:r>
              <w:t>152.2</w:t>
            </w:r>
          </w:p>
        </w:tc>
      </w:tr>
      <w:tr w:rsidR="002C34B5" w14:paraId="2B67BE8E" w14:textId="77777777">
        <w:tc>
          <w:tcPr>
            <w:tcW w:w="0" w:type="auto"/>
          </w:tcPr>
          <w:p w14:paraId="3EFE7D8C" w14:textId="77777777" w:rsidR="002C34B5" w:rsidRDefault="00313D9C">
            <w:pPr>
              <w:pStyle w:val="Compact"/>
            </w:pPr>
            <w:r>
              <w:t>1000</w:t>
            </w:r>
          </w:p>
        </w:tc>
        <w:tc>
          <w:tcPr>
            <w:tcW w:w="0" w:type="auto"/>
          </w:tcPr>
          <w:p w14:paraId="442334B5" w14:textId="77777777" w:rsidR="002C34B5" w:rsidRDefault="00313D9C">
            <w:pPr>
              <w:pStyle w:val="Compact"/>
            </w:pPr>
            <w:r>
              <w:t>673</w:t>
            </w:r>
          </w:p>
        </w:tc>
        <w:tc>
          <w:tcPr>
            <w:tcW w:w="0" w:type="auto"/>
          </w:tcPr>
          <w:p w14:paraId="15A9DD39" w14:textId="77777777" w:rsidR="002C34B5" w:rsidRDefault="00313D9C">
            <w:pPr>
              <w:pStyle w:val="Compact"/>
            </w:pPr>
            <w:r>
              <w:t>967</w:t>
            </w:r>
          </w:p>
        </w:tc>
        <w:tc>
          <w:tcPr>
            <w:tcW w:w="0" w:type="auto"/>
          </w:tcPr>
          <w:p w14:paraId="3098828A" w14:textId="77777777" w:rsidR="002C34B5" w:rsidRDefault="00313D9C">
            <w:pPr>
              <w:pStyle w:val="Compact"/>
            </w:pPr>
            <w:r>
              <w:t>33.4</w:t>
            </w:r>
          </w:p>
        </w:tc>
        <w:tc>
          <w:tcPr>
            <w:tcW w:w="0" w:type="auto"/>
          </w:tcPr>
          <w:p w14:paraId="65D4AFC3" w14:textId="77777777" w:rsidR="002C34B5" w:rsidRDefault="00313D9C">
            <w:pPr>
              <w:pStyle w:val="Compact"/>
            </w:pPr>
            <w:r>
              <w:t>155.6</w:t>
            </w:r>
          </w:p>
        </w:tc>
      </w:tr>
      <w:tr w:rsidR="002C34B5" w14:paraId="79DEC984" w14:textId="77777777">
        <w:tc>
          <w:tcPr>
            <w:tcW w:w="0" w:type="auto"/>
          </w:tcPr>
          <w:p w14:paraId="46062AF2" w14:textId="77777777" w:rsidR="002C34B5" w:rsidRDefault="00313D9C">
            <w:pPr>
              <w:pStyle w:val="Compact"/>
            </w:pPr>
            <w:r>
              <w:t>1100</w:t>
            </w:r>
          </w:p>
        </w:tc>
        <w:tc>
          <w:tcPr>
            <w:tcW w:w="0" w:type="auto"/>
          </w:tcPr>
          <w:p w14:paraId="75AA6C30" w14:textId="77777777" w:rsidR="002C34B5" w:rsidRDefault="00313D9C">
            <w:pPr>
              <w:pStyle w:val="Compact"/>
            </w:pPr>
            <w:r>
              <w:t>556</w:t>
            </w:r>
          </w:p>
        </w:tc>
        <w:tc>
          <w:tcPr>
            <w:tcW w:w="0" w:type="auto"/>
          </w:tcPr>
          <w:p w14:paraId="26056B52" w14:textId="77777777" w:rsidR="002C34B5" w:rsidRDefault="00313D9C">
            <w:pPr>
              <w:pStyle w:val="Compact"/>
            </w:pPr>
            <w:r>
              <w:t>947</w:t>
            </w:r>
          </w:p>
        </w:tc>
        <w:tc>
          <w:tcPr>
            <w:tcW w:w="0" w:type="auto"/>
          </w:tcPr>
          <w:p w14:paraId="38F2E243" w14:textId="77777777" w:rsidR="002C34B5" w:rsidRDefault="00313D9C">
            <w:pPr>
              <w:pStyle w:val="Compact"/>
            </w:pPr>
            <w:r>
              <w:t>29.7</w:t>
            </w:r>
          </w:p>
        </w:tc>
        <w:tc>
          <w:tcPr>
            <w:tcW w:w="0" w:type="auto"/>
          </w:tcPr>
          <w:p w14:paraId="58DEE407" w14:textId="77777777" w:rsidR="002C34B5" w:rsidRDefault="00313D9C">
            <w:pPr>
              <w:pStyle w:val="Compact"/>
            </w:pPr>
            <w:r>
              <w:t>156.8</w:t>
            </w:r>
          </w:p>
        </w:tc>
      </w:tr>
      <w:tr w:rsidR="002C34B5" w14:paraId="06DF351D" w14:textId="77777777">
        <w:tc>
          <w:tcPr>
            <w:tcW w:w="0" w:type="auto"/>
          </w:tcPr>
          <w:p w14:paraId="72E5B926" w14:textId="77777777" w:rsidR="002C34B5" w:rsidRDefault="00313D9C">
            <w:pPr>
              <w:pStyle w:val="Compact"/>
            </w:pPr>
            <w:r>
              <w:t>1200</w:t>
            </w:r>
          </w:p>
        </w:tc>
        <w:tc>
          <w:tcPr>
            <w:tcW w:w="0" w:type="auto"/>
          </w:tcPr>
          <w:p w14:paraId="71FCCBBB" w14:textId="77777777" w:rsidR="002C34B5" w:rsidRDefault="00313D9C">
            <w:pPr>
              <w:pStyle w:val="Compact"/>
            </w:pPr>
            <w:r>
              <w:t>502</w:t>
            </w:r>
          </w:p>
        </w:tc>
        <w:tc>
          <w:tcPr>
            <w:tcW w:w="0" w:type="auto"/>
          </w:tcPr>
          <w:p w14:paraId="0A20B88D" w14:textId="77777777" w:rsidR="002C34B5" w:rsidRDefault="00313D9C">
            <w:pPr>
              <w:pStyle w:val="Compact"/>
            </w:pPr>
            <w:r>
              <w:t>938</w:t>
            </w:r>
          </w:p>
        </w:tc>
        <w:tc>
          <w:tcPr>
            <w:tcW w:w="0" w:type="auto"/>
          </w:tcPr>
          <w:p w14:paraId="2454B731" w14:textId="77777777" w:rsidR="002C34B5" w:rsidRDefault="00313D9C">
            <w:pPr>
              <w:pStyle w:val="Compact"/>
            </w:pPr>
            <w:r>
              <w:t>23.9</w:t>
            </w:r>
          </w:p>
        </w:tc>
        <w:tc>
          <w:tcPr>
            <w:tcW w:w="0" w:type="auto"/>
          </w:tcPr>
          <w:p w14:paraId="61048E98" w14:textId="77777777" w:rsidR="002C34B5" w:rsidRDefault="00313D9C">
            <w:pPr>
              <w:pStyle w:val="Compact"/>
            </w:pPr>
            <w:r>
              <w:t>163.0</w:t>
            </w:r>
          </w:p>
        </w:tc>
      </w:tr>
    </w:tbl>
    <w:p w14:paraId="3C054F7C" w14:textId="77777777" w:rsidR="002C34B5" w:rsidRDefault="00313D9C">
      <w:pPr>
        <w:pStyle w:val="CaptionedFigure"/>
      </w:pPr>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p>
    <w:p w14:paraId="32C7197F" w14:textId="6D828E15" w:rsidR="002C34B5" w:rsidRDefault="00313D9C">
      <w:pPr>
        <w:pStyle w:val="ImageCaption"/>
      </w:pPr>
      <w:r>
        <w:rPr>
          <w:b/>
          <w:bCs/>
        </w:rPr>
        <w:t>Fig. 2.</w:t>
      </w:r>
      <w:r>
        <w:t xml:space="preserve"> </w:t>
      </w:r>
      <w:r>
        <w:t xml:space="preserve">Cyclic stress–strain curves of the </w:t>
      </w:r>
      <w:r>
        <w:t>LLM-</w:t>
      </w:r>
      <w:r>
        <w:t>alloy after annealing for 1 minute at various temperatures. Wire diameter is 0.36 mm. Panel (f) shows the stress–strain response of the annealed-plus-aged sample.</w:t>
      </w:r>
    </w:p>
    <w:p w14:paraId="1B29E1A0" w14:textId="0158B43F" w:rsidR="002C34B5" w:rsidRDefault="00313D9C">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30C16B5A" w14:textId="77777777" w:rsidR="002C34B5" w:rsidRDefault="00313D9C">
      <w:pPr>
        <w:pStyle w:val="CaptionedFigure"/>
      </w:pPr>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p>
    <w:p w14:paraId="07402654" w14:textId="051ABD6C" w:rsidR="002C34B5" w:rsidRDefault="00313D9C">
      <w:pPr>
        <w:pStyle w:val="ImageCaption"/>
      </w:pPr>
      <w:r>
        <w:rPr>
          <w:b/>
          <w:bCs/>
        </w:rPr>
        <w:t>Fig. 3.</w:t>
      </w:r>
      <w:r>
        <w:t xml:space="preserve"> </w:t>
      </w:r>
      <w:r>
        <w:t xml:space="preserve">Loading–unloading–heating tests of (a) the </w:t>
      </w:r>
      <w:r>
        <w:t>LLM-</w:t>
      </w:r>
      <w:r>
        <w:t xml:space="preserve">alloy and (b) the </w:t>
      </w:r>
      <w:r>
        <w:t>benchmark</w:t>
      </w:r>
      <w:r>
        <w:t xml:space="preserve"> alloy. Samples were heat treated at 1200 °C for 1 minute. Black arrows show the deformation path; the red arrow highlights the strain recovery caused by heating.</w:t>
      </w:r>
    </w:p>
    <w:p w14:paraId="430B14B2" w14:textId="77777777" w:rsidR="002C34B5" w:rsidRDefault="00313D9C">
      <w:pPr>
        <w:pStyle w:val="Heading2"/>
      </w:pPr>
      <w:bookmarkStart w:id="12" w:name="X7b0047580ff68e3c8823c4535b0eba55ad6dd86"/>
      <w:bookmarkEnd w:id="11"/>
      <w:r>
        <w:t>3.3 Synchrotron diffraction and phase identification</w:t>
      </w:r>
    </w:p>
    <w:p w14:paraId="1B25C2A3" w14:textId="4D1C1CBF" w:rsidR="002C34B5" w:rsidRDefault="00313D9C">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 and the results of Rietveld refinement (upper half), both before deformation (</w:t>
      </w:r>
      <w:r>
        <w:rPr>
          <w:b/>
          <w:bCs/>
        </w:rPr>
        <w:t>Fig. 5a</w:t>
      </w:r>
      <w:r>
        <w:t>) and after unloading from 10% strain (</w:t>
      </w:r>
      <w:r>
        <w:rPr>
          <w:b/>
          <w:bCs/>
        </w:rPr>
        <w:t>Fig. 5b</w:t>
      </w:r>
      <w:r>
        <w:t>).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this result, the LLM-</w:t>
      </w:r>
      <w:r>
        <w:t>alloy is estimated to consist of ≈62% FCC γ-phase, ≈34% BCC α-phase, and ≈4% DO₃ Fe₃Al phase. Its diffraction patterns before and after deformation are essentially the same (</w:t>
      </w:r>
      <w:r>
        <w:rPr>
          <w:b/>
          <w:bCs/>
        </w:rPr>
        <w:t>Fig. 4a, b</w:t>
      </w:r>
      <w:r>
        <w:t>), and relative peak intensities (</w:t>
      </w:r>
      <w:r>
        <w:rPr>
          <w:b/>
          <w:bCs/>
        </w:rPr>
        <w:t>Fig. 6a</w:t>
      </w:r>
      <w:r>
        <w:t>) are essentially unchanged: no new diffraction peaks appear and none disappear. Although an ex-situ measurement made after unloading cannot, on its own, exclude a fully reversible transformation that reverts on unloading, the absence of any mechanical recovery (</w:t>
      </w:r>
      <w:r>
        <w:rPr>
          <w:b/>
          <w:bCs/>
        </w:rPr>
        <w:t>Figs. 2 and 3</w:t>
      </w:r>
      <w:r>
        <w:t>) together with the unchanged multi-phase pattern points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12A8B61E" w14:textId="77777777" w:rsidR="002C34B5" w:rsidRDefault="00313D9C">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6D5F5AA3" w14:textId="77777777" w:rsidR="002C34B5" w:rsidRDefault="00313D9C">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p>
    <w:p w14:paraId="7E2512D3" w14:textId="4A879C76" w:rsidR="002C34B5" w:rsidRDefault="00313D9C">
      <w:pPr>
        <w:pStyle w:val="BodyText"/>
      </w:pPr>
      <w:r>
        <w:t xml:space="preserve">It is worth noting that the </w:t>
      </w:r>
      <w:r>
        <w:t>LLM-</w:t>
      </w:r>
      <w:r>
        <w:t xml:space="preserve">alloy after AGG heat treatment showed an X-ray diffraction pattern similar to </w:t>
      </w:r>
      <w:r>
        <w:rPr>
          <w:b/>
          <w:bCs/>
        </w:rPr>
        <w:t>Fig. 4a</w:t>
      </w:r>
      <w:r>
        <w:t>, indicating that the multi-phase microstructure is a stable state of this alloy at 1200 °C.</w:t>
      </w:r>
    </w:p>
    <w:p w14:paraId="6F503358" w14:textId="77777777" w:rsidR="002C34B5" w:rsidRDefault="00313D9C">
      <w:pPr>
        <w:pStyle w:val="CaptionedFigure"/>
      </w:pPr>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72CE9932" w14:textId="5DD835ED" w:rsidR="002C34B5" w:rsidRDefault="00313D9C">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7AD81875" w14:textId="77777777" w:rsidR="002C34B5" w:rsidRDefault="00313D9C">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4F2F461A" w14:textId="1943F6F3" w:rsidR="002C34B5" w:rsidRDefault="00313D9C">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63A12830" w14:textId="77777777" w:rsidR="002C34B5" w:rsidRDefault="00313D9C">
      <w:pPr>
        <w:pStyle w:val="CaptionedFigure"/>
      </w:pPr>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388FA3FC" w14:textId="6BA9B57F" w:rsidR="002C34B5" w:rsidRDefault="00313D9C">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7992DF9F" w14:textId="77777777" w:rsidR="002C34B5" w:rsidRDefault="00313D9C">
      <w:pPr>
        <w:pStyle w:val="Heading2"/>
      </w:pPr>
      <w:bookmarkStart w:id="13" w:name="equilibrium-phase-stability"/>
      <w:bookmarkEnd w:id="12"/>
      <w:r>
        <w:t>3.4 Equilibrium phase stability</w:t>
      </w:r>
    </w:p>
    <w:p w14:paraId="1299D83E" w14:textId="77777777" w:rsidR="002C34B5" w:rsidRDefault="00313D9C">
      <w:pPr>
        <w:pStyle w:val="FirstParagraph"/>
      </w:pPr>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33097134" w14:textId="77777777" w:rsidR="002C34B5" w:rsidRDefault="00313D9C">
      <w:pPr>
        <w:pStyle w:val="BodyText"/>
      </w:pPr>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0C48B7F4" w14:textId="77777777" w:rsidR="002C34B5" w:rsidRDefault="00313D9C">
      <w:pPr>
        <w:pStyle w:val="BodyText"/>
      </w:pPr>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5CC5B9DF" w14:textId="77777777" w:rsidR="002C34B5" w:rsidRDefault="00313D9C">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28787CA0" w14:textId="77777777" w:rsidR="002C34B5" w:rsidRDefault="00313D9C">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2C34B5" w14:paraId="7154875C" w14:textId="77777777" w:rsidTr="002C34B5">
        <w:trPr>
          <w:cnfStyle w:val="100000000000" w:firstRow="1" w:lastRow="0" w:firstColumn="0" w:lastColumn="0" w:oddVBand="0" w:evenVBand="0" w:oddHBand="0" w:evenHBand="0" w:firstRowFirstColumn="0" w:firstRowLastColumn="0" w:lastRowFirstColumn="0" w:lastRowLastColumn="0"/>
          <w:tblHeader/>
        </w:trPr>
        <w:tc>
          <w:tcPr>
            <w:tcW w:w="0" w:type="auto"/>
          </w:tcPr>
          <w:p w14:paraId="3151CD15" w14:textId="77777777" w:rsidR="002C34B5" w:rsidRDefault="00313D9C">
            <w:pPr>
              <w:pStyle w:val="Compact"/>
            </w:pPr>
            <w:r>
              <w:t>Alloy</w:t>
            </w:r>
          </w:p>
        </w:tc>
        <w:tc>
          <w:tcPr>
            <w:tcW w:w="0" w:type="auto"/>
          </w:tcPr>
          <w:p w14:paraId="2A3578FE" w14:textId="77777777" w:rsidR="002C34B5" w:rsidRDefault="00313D9C">
            <w:pPr>
              <w:pStyle w:val="Compact"/>
            </w:pPr>
            <w:r>
              <w:t>mpea-02b</w:t>
            </w:r>
          </w:p>
        </w:tc>
        <w:tc>
          <w:tcPr>
            <w:tcW w:w="0" w:type="auto"/>
          </w:tcPr>
          <w:p w14:paraId="606F845C" w14:textId="77777777" w:rsidR="002C34B5" w:rsidRDefault="00313D9C">
            <w:pPr>
              <w:pStyle w:val="Compact"/>
            </w:pPr>
            <w:r>
              <w:t>PrecHiMn-04</w:t>
            </w:r>
          </w:p>
        </w:tc>
        <w:tc>
          <w:tcPr>
            <w:tcW w:w="0" w:type="auto"/>
          </w:tcPr>
          <w:p w14:paraId="3135A054" w14:textId="77777777" w:rsidR="002C34B5" w:rsidRDefault="00313D9C">
            <w:pPr>
              <w:pStyle w:val="Compact"/>
            </w:pPr>
            <w:r>
              <w:t>mc_fe v2.059</w:t>
            </w:r>
          </w:p>
        </w:tc>
      </w:tr>
      <w:tr w:rsidR="002C34B5" w14:paraId="322BB0E2" w14:textId="77777777">
        <w:tc>
          <w:tcPr>
            <w:tcW w:w="0" w:type="auto"/>
          </w:tcPr>
          <w:p w14:paraId="52D9D440" w14:textId="77777777" w:rsidR="002C34B5" w:rsidRDefault="00313D9C">
            <w:pPr>
              <w:pStyle w:val="Compact"/>
            </w:pPr>
            <w:r>
              <w:t>benchmark alloy</w:t>
            </w:r>
          </w:p>
        </w:tc>
        <w:tc>
          <w:tcPr>
            <w:tcW w:w="0" w:type="auto"/>
          </w:tcPr>
          <w:p w14:paraId="09B07099" w14:textId="77777777" w:rsidR="002C34B5" w:rsidRDefault="00313D9C">
            <w:pPr>
              <w:pStyle w:val="Compact"/>
            </w:pPr>
            <w:r>
              <w:t>100 α</w:t>
            </w:r>
          </w:p>
        </w:tc>
        <w:tc>
          <w:tcPr>
            <w:tcW w:w="0" w:type="auto"/>
          </w:tcPr>
          <w:p w14:paraId="50DC4CC9" w14:textId="77777777" w:rsidR="002C34B5" w:rsidRDefault="00313D9C">
            <w:pPr>
              <w:pStyle w:val="Compact"/>
            </w:pPr>
            <w:r>
              <w:t>–</w:t>
            </w:r>
          </w:p>
        </w:tc>
        <w:tc>
          <w:tcPr>
            <w:tcW w:w="0" w:type="auto"/>
          </w:tcPr>
          <w:p w14:paraId="2E7AA57E" w14:textId="77777777" w:rsidR="002C34B5" w:rsidRDefault="00313D9C">
            <w:pPr>
              <w:pStyle w:val="Compact"/>
            </w:pPr>
            <w:r>
              <w:t>100 α</w:t>
            </w:r>
          </w:p>
        </w:tc>
      </w:tr>
      <w:tr w:rsidR="002C34B5" w14:paraId="3108F405" w14:textId="77777777">
        <w:tc>
          <w:tcPr>
            <w:tcW w:w="0" w:type="auto"/>
          </w:tcPr>
          <w:p w14:paraId="512DAD56" w14:textId="77777777" w:rsidR="002C34B5" w:rsidRDefault="00313D9C">
            <w:pPr>
              <w:pStyle w:val="Compact"/>
            </w:pPr>
            <w:r>
              <w:t>LLM-alloy</w:t>
            </w:r>
          </w:p>
        </w:tc>
        <w:tc>
          <w:tcPr>
            <w:tcW w:w="0" w:type="auto"/>
          </w:tcPr>
          <w:p w14:paraId="605F90E9" w14:textId="77777777" w:rsidR="002C34B5" w:rsidRDefault="00313D9C">
            <w:pPr>
              <w:pStyle w:val="Compact"/>
            </w:pPr>
            <w:r>
              <w:t>71.1 α + 28.9 γ</w:t>
            </w:r>
          </w:p>
        </w:tc>
        <w:tc>
          <w:tcPr>
            <w:tcW w:w="0" w:type="auto"/>
          </w:tcPr>
          <w:p w14:paraId="4D471E39" w14:textId="77777777" w:rsidR="002C34B5" w:rsidRDefault="00313D9C">
            <w:pPr>
              <w:pStyle w:val="Compact"/>
            </w:pPr>
            <w:r>
              <w:t>64.5 α + 35.5 γ</w:t>
            </w:r>
          </w:p>
        </w:tc>
        <w:tc>
          <w:tcPr>
            <w:tcW w:w="0" w:type="auto"/>
          </w:tcPr>
          <w:p w14:paraId="3C5F59E8" w14:textId="77777777" w:rsidR="002C34B5" w:rsidRDefault="00313D9C">
            <w:pPr>
              <w:pStyle w:val="Compact"/>
            </w:pPr>
            <w:r>
              <w:t>61.9 α + 38.1 γ</w:t>
            </w:r>
          </w:p>
        </w:tc>
      </w:tr>
      <w:tr w:rsidR="002C34B5" w14:paraId="580CEF94" w14:textId="77777777">
        <w:tc>
          <w:tcPr>
            <w:tcW w:w="0" w:type="auto"/>
          </w:tcPr>
          <w:p w14:paraId="3F863C62" w14:textId="77777777" w:rsidR="002C34B5" w:rsidRDefault="00313D9C">
            <w:pPr>
              <w:pStyle w:val="Compact"/>
            </w:pPr>
            <w:r>
              <w:t>LLM-alloy, C removed</w:t>
            </w:r>
          </w:p>
        </w:tc>
        <w:tc>
          <w:tcPr>
            <w:tcW w:w="0" w:type="auto"/>
          </w:tcPr>
          <w:p w14:paraId="1BC749E7" w14:textId="77777777" w:rsidR="002C34B5" w:rsidRDefault="00313D9C">
            <w:pPr>
              <w:pStyle w:val="Compact"/>
            </w:pPr>
            <w:r>
              <w:t>100 α</w:t>
            </w:r>
          </w:p>
        </w:tc>
        <w:tc>
          <w:tcPr>
            <w:tcW w:w="0" w:type="auto"/>
          </w:tcPr>
          <w:p w14:paraId="476AF5A4" w14:textId="77777777" w:rsidR="002C34B5" w:rsidRDefault="00313D9C">
            <w:pPr>
              <w:pStyle w:val="Compact"/>
            </w:pPr>
            <w:r>
              <w:t>100 α</w:t>
            </w:r>
          </w:p>
        </w:tc>
        <w:tc>
          <w:tcPr>
            <w:tcW w:w="0" w:type="auto"/>
          </w:tcPr>
          <w:p w14:paraId="6D5E5C6F" w14:textId="77777777" w:rsidR="002C34B5" w:rsidRDefault="00313D9C">
            <w:pPr>
              <w:pStyle w:val="Compact"/>
            </w:pPr>
            <w:r>
              <w:t>100 α</w:t>
            </w:r>
          </w:p>
        </w:tc>
      </w:tr>
    </w:tbl>
    <w:p w14:paraId="034FF848" w14:textId="77777777" w:rsidR="002C34B5" w:rsidRDefault="00313D9C">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2DF48AC5" w14:textId="77777777" w:rsidR="002C34B5" w:rsidRDefault="00313D9C">
      <w:pPr>
        <w:pStyle w:val="CaptionedFigure"/>
      </w:pPr>
      <w:r>
        <w:rPr>
          <w:noProof/>
        </w:rPr>
        <w:drawing>
          <wp:inline distT="0" distB="0" distL="0" distR="0">
            <wp:extent cx="5943600" cy="2724150"/>
            <wp:effectExtent l="0" t="0" r="0" b="0"/>
            <wp:docPr id="50" name="Picture" descr="Fig. 7. 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1"/>
                    <a:stretch>
                      <a:fillRect/>
                    </a:stretch>
                  </pic:blipFill>
                  <pic:spPr bwMode="auto">
                    <a:xfrm>
                      <a:off x="0" y="0"/>
                      <a:ext cx="5943600" cy="2724150"/>
                    </a:xfrm>
                    <a:prstGeom prst="rect">
                      <a:avLst/>
                    </a:prstGeom>
                    <a:noFill/>
                    <a:ln w="9525">
                      <a:noFill/>
                      <a:headEnd/>
                      <a:tailEnd/>
                    </a:ln>
                  </pic:spPr>
                </pic:pic>
              </a:graphicData>
            </a:graphic>
          </wp:inline>
        </w:drawing>
      </w:r>
    </w:p>
    <w:p w14:paraId="197C6C48" w14:textId="77777777" w:rsidR="002C34B5" w:rsidRDefault="00313D9C">
      <w:pPr>
        <w:pStyle w:val="ImageCaption"/>
      </w:pPr>
      <w:r>
        <w:rPr>
          <w:b/>
          <w:bCs/>
        </w:rPr>
        <w:t>Fig. 7.</w:t>
      </w:r>
      <w:r>
        <w:t xml:space="preserve"> </w:t>
      </w:r>
      <w:r>
        <w:t>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w:t>
      </w:r>
      <w:r>
        <w:t>n; it lies beneath the total bcc curve because B2 is an ordered partition of that phase rather than a separate one. The dashed line marks the 1200 °C solution-treatment temperature. The carbon-free control composition is reported in Table 3.</w:t>
      </w:r>
    </w:p>
    <w:p w14:paraId="5552BFED" w14:textId="77777777" w:rsidR="002C34B5" w:rsidRDefault="00313D9C">
      <w:r>
        <w:pict>
          <v:rect id="_x0000_i1029" style="width:0;height:1.5pt" o:hralign="center" o:hrstd="t" o:hr="t"/>
        </w:pict>
      </w:r>
    </w:p>
    <w:p w14:paraId="6299C2A9" w14:textId="77777777" w:rsidR="002C34B5" w:rsidRDefault="00313D9C">
      <w:pPr>
        <w:pStyle w:val="Heading1"/>
      </w:pPr>
      <w:bookmarkStart w:id="14" w:name="discussion"/>
      <w:bookmarkEnd w:id="9"/>
      <w:bookmarkEnd w:id="13"/>
      <w:r>
        <w:t>4. Discussion</w:t>
      </w:r>
    </w:p>
    <w:p w14:paraId="3FCDA5E3" w14:textId="77777777" w:rsidR="002C34B5" w:rsidRDefault="00313D9C">
      <w:pPr>
        <w:pStyle w:val="Heading2"/>
      </w:pPr>
      <w:bookmarkStart w:id="15" w:name="X58357b202da789a88ec9478e0111cd3c94b5213"/>
      <w:r>
        <w:t>4.1 Origin of the absence of stress-induced phase transformation</w:t>
      </w:r>
    </w:p>
    <w:p w14:paraId="4F61BCCC" w14:textId="5913F734" w:rsidR="002C34B5" w:rsidRDefault="00313D9C">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30</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7394B4F3" w14:textId="77777777" w:rsidR="002C34B5" w:rsidRDefault="00313D9C">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p>
    <w:p w14:paraId="2AEEBC20" w14:textId="77777777" w:rsidR="002C34B5" w:rsidRDefault="00313D9C">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p>
    <w:p w14:paraId="23B3D631" w14:textId="77777777" w:rsidR="002C34B5" w:rsidRDefault="00313D9C">
      <w:pPr>
        <w:pStyle w:val="BodyText"/>
      </w:pPr>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Conversely, the ordered bcc that the LLM-alloy can form at equilibrium is small (≤11%) and confined below ≈850 °C. At those </w:t>
      </w:r>
      <w:r>
        <w:t>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w:t>
      </w:r>
      <w:r>
        <w:t>ronger statement than the absence of a B2 reflection alone would support, and it accounts for the failure of the 200 °C ageing treatment (</w:t>
      </w:r>
      <w:r>
        <w:rPr>
          <w:b/>
          <w:bCs/>
        </w:rPr>
        <w:t>Fig. 2f</w:t>
      </w:r>
      <w:r>
        <w:t>) to induce any pseudo-elastic response.</w:t>
      </w:r>
    </w:p>
    <w:p w14:paraId="452CE2FA" w14:textId="002FD110" w:rsidR="002C34B5" w:rsidRDefault="00313D9C">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parent-</w:t>
      </w:r>
      <w:r>
        <w:t>phase</w:t>
      </w:r>
      <w:r>
        <w:t xml:space="preserve"> stability, transformation temperature, grain size, crystallographic orientation and texture, and</w:t>
      </w:r>
      <w:r>
        <w:t xml:space="preserve"> the </w:t>
      </w:r>
      <w:r>
        <w:t>competition between the transformation stress and the plastic yield stress all bear on whether a stress-induced transformation can proceed reversibly. In the LLM-alloy the ordered phase that forms is D0₃ Fe₃Al, present as a bulk constituent rather than as a</w:t>
      </w:r>
      <w:r>
        <w:t xml:space="preserve"> fine </w:t>
      </w:r>
      <w:r>
        <w:t>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660C6E1B" w14:textId="77777777" w:rsidR="002C34B5" w:rsidRDefault="00313D9C">
      <w:pPr>
        <w:pStyle w:val="Heading2"/>
      </w:pPr>
      <w:bookmarkStart w:id="16" w:name="the-role-of-carbon"/>
      <w:bookmarkEnd w:id="15"/>
      <w:r>
        <w:t>4.2</w:t>
      </w:r>
      <w:r>
        <w:t xml:space="preserve"> The role of carbon</w:t>
      </w:r>
    </w:p>
    <w:p w14:paraId="05E8E11F" w14:textId="77777777" w:rsidR="002C34B5" w:rsidRDefault="00313D9C">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52111789" w14:textId="77777777" w:rsidR="002C34B5" w:rsidRDefault="00313D9C">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74C0C23A" w14:textId="77777777" w:rsidR="002C34B5" w:rsidRDefault="00313D9C">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same argument applies to the reduction in Ni from 7.8 to 4.2 at%, which is likewise held at its measured value in</w:t>
      </w:r>
      <w:r>
        <w:t xml:space="preserve"> the control.</w:t>
      </w:r>
    </w:p>
    <w:p w14:paraId="21E814A5" w14:textId="77777777" w:rsidR="002C34B5" w:rsidRDefault="00313D9C">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5F6CD53B" w14:textId="77777777" w:rsidR="002C34B5" w:rsidRDefault="00313D9C">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6D3D29B9" w14:textId="77777777" w:rsidR="002C34B5" w:rsidRDefault="00313D9C">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5E76909F" w14:textId="77777777" w:rsidR="002C34B5" w:rsidRDefault="00313D9C">
      <w:pPr>
        <w:pStyle w:val="Heading2"/>
      </w:pPr>
      <w:bookmarkStart w:id="17" w:name="X14190cefc5af7e6c61eb8a7f0ac8ec72264613c"/>
      <w:bookmarkEnd w:id="16"/>
      <w:r>
        <w:t>4.3</w:t>
      </w:r>
      <w:r>
        <w:t xml:space="preserve"> Anneal-temperature dependence of mechanical properties</w:t>
      </w:r>
    </w:p>
    <w:p w14:paraId="05970BB1" w14:textId="4573F31B" w:rsidR="002C34B5" w:rsidRDefault="00313D9C">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0EA8364F" w14:textId="77777777" w:rsidR="002C34B5" w:rsidRDefault="00313D9C">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6638203B" w14:textId="3330DE4F" w:rsidR="002C34B5" w:rsidRDefault="00313D9C">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123965BB" w14:textId="167088F2" w:rsidR="002C34B5" w:rsidRDefault="00313D9C">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3F0078CC" w14:textId="7642599E" w:rsidR="002C34B5" w:rsidRDefault="00313D9C">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w:t>
      </w:r>
    </w:p>
    <w:p w14:paraId="1026F6FD" w14:textId="77777777" w:rsidR="002C34B5" w:rsidRDefault="00313D9C">
      <w:pPr>
        <w:pStyle w:val="Heading2"/>
      </w:pPr>
      <w:bookmarkStart w:id="18" w:name="implications-for-ai-guided-alloy-design"/>
      <w:bookmarkEnd w:id="17"/>
      <w:r>
        <w:t>4.4</w:t>
      </w:r>
      <w:r>
        <w:t xml:space="preserve"> Implications for AI-guided alloy design</w:t>
      </w:r>
    </w:p>
    <w:p w14:paraId="41DE0953" w14:textId="6A74FAF5" w:rsidR="002C34B5" w:rsidRDefault="00313D9C">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7E187E94" w14:textId="77777777" w:rsidR="002C34B5" w:rsidRDefault="00313D9C">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p>
    <w:p w14:paraId="0CBCF445" w14:textId="77777777" w:rsidR="002C34B5" w:rsidRDefault="00313D9C">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47F3C253" w14:textId="77777777" w:rsidR="002C34B5" w:rsidRDefault="00313D9C">
      <w:r>
        <w:pict>
          <v:rect id="_x0000_i1030" style="width:0;height:1.5pt" o:hralign="center" o:hrstd="t" o:hr="t"/>
        </w:pict>
      </w:r>
    </w:p>
    <w:p w14:paraId="6D72BA06" w14:textId="77777777" w:rsidR="002C34B5" w:rsidRDefault="00313D9C">
      <w:pPr>
        <w:pStyle w:val="Heading1"/>
      </w:pPr>
      <w:bookmarkStart w:id="19" w:name="conclusions"/>
      <w:bookmarkEnd w:id="14"/>
      <w:bookmarkEnd w:id="18"/>
      <w:r>
        <w:t>5. Conclusions</w:t>
      </w:r>
    </w:p>
    <w:p w14:paraId="65576A25" w14:textId="24CC6CE3" w:rsidR="002C34B5" w:rsidRDefault="00313D9C">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 xml:space="preserve">under identical processing conditions. The </w:t>
      </w:r>
      <w:r>
        <w:t>LLM</w:t>
      </w:r>
      <w:r>
        <w:t>-designed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t>
      </w:r>
    </w:p>
    <w:p w14:paraId="658FF1EB" w14:textId="77777777" w:rsidR="002C34B5" w:rsidRDefault="00313D9C">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5E40B476" w14:textId="77777777" w:rsidR="002C34B5" w:rsidRDefault="00313D9C">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 xml:space="preserve">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 </w:t>
      </w:r>
      <w:r>
        <w:t>Nevertheless, this work demonstrates the value of experimentally validating AI-generated hypotheses and suggests that future models incorporating kinetic effects, phase transformations, and processing history may become powerful tools for accelerated alloy discovery.</w:t>
      </w:r>
    </w:p>
    <w:p w14:paraId="735808E0" w14:textId="77777777" w:rsidR="002C34B5" w:rsidRDefault="00313D9C">
      <w:r>
        <w:pict>
          <v:rect id="_x0000_i1031" style="width:0;height:1.5pt" o:hralign="center" o:hrstd="t" o:hr="t"/>
        </w:pict>
      </w:r>
    </w:p>
    <w:p w14:paraId="13597CCD" w14:textId="77777777" w:rsidR="002C34B5" w:rsidRDefault="00313D9C">
      <w:pPr>
        <w:pStyle w:val="Heading1"/>
      </w:pPr>
      <w:bookmarkStart w:id="20" w:name="acknowledgments"/>
      <w:bookmarkEnd w:id="19"/>
      <w:r>
        <w:t>Acknowledgments</w:t>
      </w:r>
    </w:p>
    <w:p w14:paraId="6B158F06" w14:textId="77777777" w:rsidR="002C34B5" w:rsidRDefault="00313D9C">
      <w:pPr>
        <w:pStyle w:val="FirstParagraph"/>
      </w:pPr>
      <w:r>
        <w:t>The authors thank Fort Wayne Metals for providing access to melting, hot-rolling, cold-drawing, and metallography facilities, and for technical guidance throughout alloy synthesis.</w:t>
      </w:r>
    </w:p>
    <w:p w14:paraId="351CCF1E" w14:textId="77777777" w:rsidR="002C34B5" w:rsidRDefault="00313D9C">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D428824" w14:textId="77777777" w:rsidR="002C34B5" w:rsidRDefault="00313D9C">
      <w:r>
        <w:pict>
          <v:rect id="_x0000_i1032" style="width:0;height:1.5pt" o:hralign="center" o:hrstd="t" o:hr="t"/>
        </w:pict>
      </w:r>
    </w:p>
    <w:p w14:paraId="6C6DA98A" w14:textId="77777777" w:rsidR="002C34B5" w:rsidRDefault="00313D9C">
      <w:pPr>
        <w:pStyle w:val="Heading1"/>
      </w:pPr>
      <w:bookmarkStart w:id="21" w:name="declarations"/>
      <w:bookmarkEnd w:id="20"/>
      <w:r>
        <w:t>Declarations</w:t>
      </w:r>
    </w:p>
    <w:p w14:paraId="460DF284" w14:textId="77777777" w:rsidR="002C34B5" w:rsidRDefault="00313D9C">
      <w:pPr>
        <w:pStyle w:val="FirstParagraph"/>
      </w:pPr>
      <w:r>
        <w:rPr>
          <w:b/>
          <w:bCs/>
        </w:rPr>
        <w:t>Funding.</w:t>
      </w:r>
      <w:r>
        <w:t xml:space="preserve"> </w:t>
      </w:r>
      <w:r>
        <w:t>No external funding was received for this work.</w:t>
      </w:r>
    </w:p>
    <w:p w14:paraId="201D94A3" w14:textId="77777777" w:rsidR="002C34B5" w:rsidRDefault="00313D9C">
      <w:pPr>
        <w:pStyle w:val="BodyText"/>
      </w:pPr>
      <w:r>
        <w:rPr>
          <w:b/>
          <w:bCs/>
        </w:rPr>
        <w:t>Competing interests.</w:t>
      </w:r>
      <w:r>
        <w:t xml:space="preserve"> The authors declare no competing interests.</w:t>
      </w:r>
    </w:p>
    <w:p w14:paraId="29DBED29" w14:textId="4BB6570C" w:rsidR="002C34B5" w:rsidRDefault="00313D9C">
      <w:pPr>
        <w:pStyle w:val="BodyText"/>
      </w:pPr>
      <w:r>
        <w:rPr>
          <w:b/>
          <w:bCs/>
        </w:rPr>
        <w:t>Generative AI use.</w:t>
      </w:r>
      <w:r>
        <w:t xml:space="preserve"> </w:t>
      </w:r>
      <w:r>
        <w:t>Generative AI enters this work in two distinct roles, which are reported separately. First, an</w:t>
      </w:r>
      <w:r>
        <w:t xml:space="preserve"> LLM deep-research agent (Google Gemini 2.5, Deep Research) was used to hypothesize the </w:t>
      </w:r>
      <w:r>
        <w:t>LLM</w:t>
      </w:r>
      <w:r>
        <w:t>-alloy composition under study, as described in Sec. 2.1; this use is a study method</w:t>
      </w:r>
      <w:r>
        <w:t xml:space="preserve"> and is itself the object of the investigation. Second, during </w:t>
      </w:r>
      <w:r>
        <w:t xml:space="preserve">preparation </w:t>
      </w:r>
      <w:r>
        <w:t xml:space="preserve">of this revision a </w:t>
      </w:r>
      <w:r>
        <w:t xml:space="preserve">generative AI </w:t>
      </w:r>
      <w:r>
        <w:t xml:space="preserve">assistant (Anthropic Claude) was </w:t>
      </w:r>
      <w:r>
        <w:t xml:space="preserve">used to </w:t>
      </w:r>
      <w:r>
        <w:t xml:space="preserve">help write and debug the pycalphad scripts underlying Secs. 2.6 and 3.4, to assist in extracting and checking numerical results from the Rietveld refinement output, and to </w:t>
      </w:r>
      <w:r>
        <w:t>draft</w:t>
      </w:r>
      <w:r>
        <w:t xml:space="preserve"> and</w:t>
      </w:r>
      <w:r>
        <w:t xml:space="preserve"> edit</w:t>
      </w:r>
      <w:r>
        <w:t xml:space="preserve"> portions of</w:t>
      </w:r>
      <w:r>
        <w:t xml:space="preserve"> the text</w:t>
      </w:r>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r>
        <w:t>.</w:t>
      </w:r>
    </w:p>
    <w:p w14:paraId="7525FD5B" w14:textId="77777777" w:rsidR="002C34B5" w:rsidRDefault="00313D9C">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4D75867E" w14:textId="77777777" w:rsidR="002C34B5" w:rsidRDefault="00313D9C">
      <w:r>
        <w:pict>
          <v:rect id="_x0000_i1033" style="width:0;height:1.5pt" o:hralign="center" o:hrstd="t" o:hr="t"/>
        </w:pict>
      </w:r>
    </w:p>
    <w:p w14:paraId="30B5621F" w14:textId="77777777" w:rsidR="002C34B5" w:rsidRDefault="00313D9C">
      <w:pPr>
        <w:pStyle w:val="Bibliography"/>
      </w:pPr>
      <w:bookmarkStart w:id="22" w:name="ref-merchant2023gnome"/>
      <w:bookmarkStart w:id="23" w:name="refs"/>
      <w:r>
        <w:t xml:space="preserve">[1] </w:t>
      </w:r>
      <w:r>
        <w:tab/>
        <w:t>A. Merchant, S. Batzner, S.S. Schoenholz, M. Aykol, G. Cheon, E.D. Cubuk, Scaling deep learning for materials discovery, Nature 624 (2023) 80–85. https://doi.org/</w:t>
      </w:r>
      <w:hyperlink r:id="rId12">
        <w:r>
          <w:rPr>
            <w:rStyle w:val="Hyperlink"/>
          </w:rPr>
          <w:t>10.1038/s41586-023-06735-9</w:t>
        </w:r>
      </w:hyperlink>
      <w:r>
        <w:t>.</w:t>
      </w:r>
    </w:p>
    <w:p w14:paraId="39820AA4" w14:textId="77777777" w:rsidR="002C34B5" w:rsidRDefault="00313D9C">
      <w:pPr>
        <w:pStyle w:val="Bibliography"/>
      </w:pPr>
      <w:bookmarkStart w:id="24" w:name="ref-comanici2025gemini"/>
      <w:bookmarkEnd w:id="22"/>
      <w:r>
        <w:t xml:space="preserve">[2] </w:t>
      </w:r>
      <w:r>
        <w:tab/>
        <w:t xml:space="preserve">Google DeepMind, Gemini 2.5: Pushing the frontier with advanced reasoning, multimodality, long context, and next-generation agentic capabilities, (2025). </w:t>
      </w:r>
      <w:hyperlink r:id="rId13">
        <w:r>
          <w:rPr>
            <w:rStyle w:val="Hyperlink"/>
          </w:rPr>
          <w:t>https://arxiv.org/abs/2507.06261</w:t>
        </w:r>
      </w:hyperlink>
      <w:r>
        <w:t>.</w:t>
      </w:r>
    </w:p>
    <w:p w14:paraId="4CDF0514" w14:textId="77777777" w:rsidR="002C34B5" w:rsidRDefault="00313D9C">
      <w:pPr>
        <w:pStyle w:val="Bibliography"/>
      </w:pPr>
      <w:bookmarkStart w:id="25" w:name="ref-xu2025deepresearch"/>
      <w:bookmarkEnd w:id="24"/>
      <w:r>
        <w:t xml:space="preserve">[3] </w:t>
      </w:r>
      <w:r>
        <w:tab/>
      </w:r>
      <w:r>
        <w:t xml:space="preserve">R. Xu, J. Peng, A comprehensive survey of deep research: Systems, methodologies, and applications, (2025). </w:t>
      </w:r>
      <w:hyperlink r:id="rId14">
        <w:r>
          <w:rPr>
            <w:rStyle w:val="Hyperlink"/>
          </w:rPr>
          <w:t>https://arxiv.org/abs/2506.12594</w:t>
        </w:r>
      </w:hyperlink>
      <w:r>
        <w:t>.</w:t>
      </w:r>
    </w:p>
    <w:p w14:paraId="22D29F64" w14:textId="77777777" w:rsidR="002C34B5" w:rsidRDefault="00313D9C">
      <w:pPr>
        <w:pStyle w:val="Bibliography"/>
      </w:pPr>
      <w:bookmarkStart w:id="26" w:name="ref-aims2022"/>
      <w:bookmarkEnd w:id="25"/>
      <w:r>
        <w:t xml:space="preserve">[4] </w:t>
      </w:r>
      <w:r>
        <w:tab/>
        <w:t>W. Trehern, R. Ortiz-Ayala, K.C. Atli, R. Arróyave, I. Karaman, Data-driven shape memory alloy discovery using artificial intelligence materials selection (AIMS) framework, Acta Materialia 228 (2022) 117751. https://doi.org/</w:t>
      </w:r>
      <w:hyperlink r:id="rId15">
        <w:r>
          <w:rPr>
            <w:rStyle w:val="Hyperlink"/>
          </w:rPr>
          <w:t>10.1016/j.actamat.2022.117751</w:t>
        </w:r>
      </w:hyperlink>
      <w:r>
        <w:t>.</w:t>
      </w:r>
    </w:p>
    <w:p w14:paraId="053991FA" w14:textId="77777777" w:rsidR="002C34B5" w:rsidRDefault="00313D9C">
      <w:pPr>
        <w:pStyle w:val="Bibliography"/>
      </w:pPr>
      <w:bookmarkStart w:id="27" w:name="ref-generativeinversion2025"/>
      <w:bookmarkEnd w:id="26"/>
      <w:r>
        <w:t xml:space="preserve">[5] </w:t>
      </w:r>
      <w:r>
        <w:tab/>
        <w:t>C. Li, P. Dang, Y. Xian, Y. Zhou, B. Shi, X. Ding, J. Sun, D. Xue, Generative inverse design for property-targeted materials design: Application to shape memory alloys, Advanced Functional Materials 36 (2026) 2527774. https://doi.org/</w:t>
      </w:r>
      <w:hyperlink r:id="rId16">
        <w:r>
          <w:rPr>
            <w:rStyle w:val="Hyperlink"/>
          </w:rPr>
          <w:t>10.1002/adfm.202527774</w:t>
        </w:r>
      </w:hyperlink>
      <w:r>
        <w:t>.</w:t>
      </w:r>
    </w:p>
    <w:p w14:paraId="0CA1E4B6" w14:textId="77777777" w:rsidR="002C34B5" w:rsidRDefault="00313D9C">
      <w:pPr>
        <w:pStyle w:val="Bibliography"/>
      </w:pPr>
      <w:bookmarkStart w:id="28" w:name="ref-hu2024beyond"/>
      <w:bookmarkEnd w:id="27"/>
      <w:r>
        <w:t xml:space="preserve">[6] </w:t>
      </w:r>
      <w:r>
        <w:tab/>
        <w:t xml:space="preserve">Q. Hu, R. Han, M.J. Buehler, Beyond designer’s knowledge: Generating materials design hypotheses via large language models, (2024). </w:t>
      </w:r>
      <w:hyperlink r:id="rId17">
        <w:r>
          <w:rPr>
            <w:rStyle w:val="Hyperlink"/>
          </w:rPr>
          <w:t>https://arxiv.org/abs/2409.06756</w:t>
        </w:r>
      </w:hyperlink>
      <w:r>
        <w:t>.</w:t>
      </w:r>
    </w:p>
    <w:p w14:paraId="39CFD922" w14:textId="77777777" w:rsidR="002C34B5" w:rsidRDefault="00313D9C">
      <w:pPr>
        <w:pStyle w:val="Bibliography"/>
      </w:pPr>
      <w:bookmarkStart w:id="29" w:name="ref-otsuka2005physical"/>
      <w:bookmarkEnd w:id="28"/>
      <w:r>
        <w:t xml:space="preserve">[7] </w:t>
      </w:r>
      <w:r>
        <w:tab/>
        <w:t>K. Otsuka, C.M. Wayman, Physical metallurgy of titanium-nickel-based shape memory alloys, Cambridge University Press, Cambridge, UK, 1998.</w:t>
      </w:r>
    </w:p>
    <w:p w14:paraId="75C9BDF9" w14:textId="77777777" w:rsidR="002C34B5" w:rsidRDefault="00313D9C">
      <w:pPr>
        <w:pStyle w:val="Bibliography"/>
      </w:pPr>
      <w:bookmarkStart w:id="30" w:name="ref-lagoudas2008shape"/>
      <w:bookmarkEnd w:id="29"/>
      <w:r>
        <w:t xml:space="preserve">[8] </w:t>
      </w:r>
      <w:r>
        <w:tab/>
        <w:t>D.C. Lagoudas, ed., Shape memory alloys: Modeling and engineering applications, Springer, New York, 2008. https://doi.org/</w:t>
      </w:r>
      <w:hyperlink r:id="rId18">
        <w:r>
          <w:rPr>
            <w:rStyle w:val="Hyperlink"/>
          </w:rPr>
          <w:t>10.1007/978-0-387-47685-8</w:t>
        </w:r>
      </w:hyperlink>
      <w:r>
        <w:t>.</w:t>
      </w:r>
    </w:p>
    <w:p w14:paraId="5789E461" w14:textId="77777777" w:rsidR="002C34B5" w:rsidRDefault="00313D9C">
      <w:pPr>
        <w:pStyle w:val="Bibliography"/>
      </w:pPr>
      <w:bookmarkStart w:id="31" w:name="ref-duerig1999overview"/>
      <w:bookmarkEnd w:id="30"/>
      <w:r>
        <w:t xml:space="preserve">[9] </w:t>
      </w:r>
      <w:r>
        <w:tab/>
      </w:r>
      <w:r>
        <w:t>T. Duerig, A. Pelton, D. Stöckel, An overview of nitinol medical applications, Materials Science and Engineering: A 273–275 (1999) 149–160. https://doi.org/</w:t>
      </w:r>
      <w:hyperlink r:id="rId19">
        <w:r>
          <w:rPr>
            <w:rStyle w:val="Hyperlink"/>
          </w:rPr>
          <w:t>10.1016/S0921-5093(99)00294-4</w:t>
        </w:r>
      </w:hyperlink>
      <w:r>
        <w:t>.</w:t>
      </w:r>
    </w:p>
    <w:p w14:paraId="600B3EDE" w14:textId="77777777" w:rsidR="002C34B5" w:rsidRDefault="00313D9C">
      <w:pPr>
        <w:pStyle w:val="Bibliography"/>
      </w:pPr>
      <w:bookmarkStart w:id="32" w:name="ref-mohd2014nitinol"/>
      <w:bookmarkEnd w:id="31"/>
      <w:r>
        <w:t xml:space="preserve">[10] </w:t>
      </w:r>
      <w:r>
        <w:tab/>
        <w:t>J. Mohd Jani, M. Leary, A. Subic, M.A. Gibson, A review of shape memory alloy research, applications and opportunities, Materials &amp; Design 56 (2014) 1078–1113. https://doi.org/</w:t>
      </w:r>
      <w:hyperlink r:id="rId20">
        <w:r>
          <w:rPr>
            <w:rStyle w:val="Hyperlink"/>
          </w:rPr>
          <w:t>10.1016/j.matdes.2013.11.084</w:t>
        </w:r>
      </w:hyperlink>
      <w:r>
        <w:t>.</w:t>
      </w:r>
    </w:p>
    <w:p w14:paraId="2A77BE7D" w14:textId="77777777" w:rsidR="002C34B5" w:rsidRDefault="00313D9C">
      <w:pPr>
        <w:pStyle w:val="Bibliography"/>
      </w:pPr>
      <w:bookmarkStart w:id="33" w:name="ref-cladera2014ironbased"/>
      <w:bookmarkEnd w:id="32"/>
      <w:r>
        <w:t xml:space="preserve">[11] </w:t>
      </w:r>
      <w:r>
        <w:tab/>
        <w:t>A. Cladera, B. Weber, C. Leinenbach, C. Czaderski, M. Shahverdi, M. Motavalli, Iron-based shape memory alloys for civil engineering structures: An overview, Construction and Building Materials 63 (2014) 281–293. https://doi.org/</w:t>
      </w:r>
      <w:hyperlink r:id="rId21">
        <w:r>
          <w:rPr>
            <w:rStyle w:val="Hyperlink"/>
          </w:rPr>
          <w:t>10.1016/j.conbuildmat.2014.04.032</w:t>
        </w:r>
      </w:hyperlink>
      <w:r>
        <w:t>.</w:t>
      </w:r>
    </w:p>
    <w:p w14:paraId="4ED39435" w14:textId="77777777" w:rsidR="002C34B5" w:rsidRDefault="00313D9C">
      <w:pPr>
        <w:pStyle w:val="Bibliography"/>
      </w:pPr>
      <w:bookmarkStart w:id="34" w:name="ref-omori2011superelastic"/>
      <w:bookmarkEnd w:id="33"/>
      <w:r>
        <w:t xml:space="preserve">[12] </w:t>
      </w:r>
      <w:r>
        <w:tab/>
      </w:r>
      <w:r>
        <w:t>T. Omori, K. Ando, M. Okano, X. Xu, Y. Tanaka, I. Ohnuma, R. Kainuma, K. Ishida, Superelastic effect in polycrystalline ferrous alloys, Science 333 (2011) 68–71. https://doi.org/</w:t>
      </w:r>
      <w:hyperlink r:id="rId22">
        <w:r>
          <w:rPr>
            <w:rStyle w:val="Hyperlink"/>
          </w:rPr>
          <w:t>10.1126/science.1202232</w:t>
        </w:r>
      </w:hyperlink>
      <w:r>
        <w:t>.</w:t>
      </w:r>
    </w:p>
    <w:p w14:paraId="25E98415" w14:textId="77777777" w:rsidR="002C34B5" w:rsidRDefault="00313D9C">
      <w:pPr>
        <w:pStyle w:val="Bibliography"/>
      </w:pPr>
      <w:bookmarkStart w:id="35" w:name="ref-vollmer2016cyclic"/>
      <w:bookmarkEnd w:id="3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3">
        <w:r>
          <w:rPr>
            <w:rStyle w:val="Hyperlink"/>
          </w:rPr>
          <w:t>10.1016/j.scriptamat.2015.12.007</w:t>
        </w:r>
      </w:hyperlink>
      <w:r>
        <w:t>.</w:t>
      </w:r>
    </w:p>
    <w:p w14:paraId="0A7CD068" w14:textId="77777777" w:rsidR="002C34B5" w:rsidRDefault="00313D9C">
      <w:pPr>
        <w:pStyle w:val="Bibliography"/>
      </w:pPr>
      <w:bookmarkStart w:id="36" w:name="ref-abuzaid2019femnnial"/>
      <w:bookmarkEnd w:id="35"/>
      <w:r>
        <w:t xml:space="preserve">[14] </w:t>
      </w:r>
      <w:r>
        <w:tab/>
        <w:t>W. Abuzaid, Y. Wu, R. Sidharth, F. Brenne, S. Alkan, M. Vollmer, P. Krooß, T. Niendorf, H. Sehitoglu, FeMnNiAl iron-based shape memory alloy: Promises and challenges, Shape Memory and Superelasticity 5 (2019) 384–396. https://doi.org/</w:t>
      </w:r>
      <w:hyperlink r:id="rId24">
        <w:r>
          <w:rPr>
            <w:rStyle w:val="Hyperlink"/>
          </w:rPr>
          <w:t>10.1007/s40830-019-00230-9</w:t>
        </w:r>
      </w:hyperlink>
      <w:r>
        <w:t>.</w:t>
      </w:r>
    </w:p>
    <w:p w14:paraId="7153D0CA" w14:textId="77777777" w:rsidR="002C34B5" w:rsidRDefault="00313D9C">
      <w:pPr>
        <w:pStyle w:val="Bibliography"/>
      </w:pPr>
      <w:bookmarkStart w:id="37" w:name="ref-omori2017martensitic"/>
      <w:bookmarkEnd w:id="36"/>
      <w:r>
        <w:t xml:space="preserve">[15] </w:t>
      </w:r>
      <w:r>
        <w:tab/>
        <w:t>T. Omori, R. Kainuma, Martensitic transformation and superelasticity in fe-mn-al-based shape memory alloys, Shape Memory and Superelasticity 3 (2017) 322–334. https://doi.org/</w:t>
      </w:r>
      <w:hyperlink r:id="rId25">
        <w:r>
          <w:rPr>
            <w:rStyle w:val="Hyperlink"/>
          </w:rPr>
          <w:t>10.1007/s40830-017-0129-9</w:t>
        </w:r>
      </w:hyperlink>
      <w:r>
        <w:t>.</w:t>
      </w:r>
    </w:p>
    <w:p w14:paraId="377DB943" w14:textId="77777777" w:rsidR="002C34B5" w:rsidRDefault="00313D9C">
      <w:pPr>
        <w:pStyle w:val="Bibliography"/>
      </w:pPr>
      <w:bookmarkStart w:id="38" w:name="ref-omori2016agg"/>
      <w:bookmarkEnd w:id="37"/>
      <w:r>
        <w:t xml:space="preserve">[16] </w:t>
      </w:r>
      <w:r>
        <w:tab/>
        <w:t>T. Omori, H. Iwaizako, R. Kainuma, Abnormal grain growth induced by cyclic heat treatment in Fe-Mn-Al-Ni superelastic alloy, Materials &amp; Design 101 (2016) 263–269. https://doi.org/</w:t>
      </w:r>
      <w:hyperlink r:id="rId26">
        <w:r>
          <w:rPr>
            <w:rStyle w:val="Hyperlink"/>
          </w:rPr>
          <w:t>10.1016/j.matdes.2016.04.011</w:t>
        </w:r>
      </w:hyperlink>
      <w:r>
        <w:t>.</w:t>
      </w:r>
    </w:p>
    <w:p w14:paraId="6D391E1F" w14:textId="77777777" w:rsidR="002C34B5" w:rsidRDefault="00313D9C">
      <w:pPr>
        <w:pStyle w:val="Bibliography"/>
      </w:pPr>
      <w:bookmarkStart w:id="39" w:name="ref-tai2024ssrf"/>
      <w:bookmarkEnd w:id="38"/>
      <w:r>
        <w:t xml:space="preserve">[17] </w:t>
      </w:r>
      <w:r>
        <w:tab/>
        <w:t>R.Z. Tai, Z.T. Zhao, Overview of SSRF phase-II beamlines, Nuclear Science and Techniques 35 (2024) 137. https://doi.org/</w:t>
      </w:r>
      <w:hyperlink r:id="rId27">
        <w:r>
          <w:rPr>
            <w:rStyle w:val="Hyperlink"/>
          </w:rPr>
          <w:t>10.1007/s41365-024-01487-1</w:t>
        </w:r>
      </w:hyperlink>
      <w:r>
        <w:t>.</w:t>
      </w:r>
    </w:p>
    <w:p w14:paraId="434582D9" w14:textId="77777777" w:rsidR="002C34B5" w:rsidRDefault="00313D9C">
      <w:pPr>
        <w:pStyle w:val="Bibliography"/>
      </w:pPr>
      <w:bookmarkStart w:id="40" w:name="ref-yang2024ssrf"/>
      <w:bookmarkEnd w:id="39"/>
      <w:r>
        <w:t xml:space="preserve">[18] </w:t>
      </w:r>
      <w:r>
        <w:tab/>
        <w:t>K. Yang, Z.-H. Dong, C.-Y. Zhou, Z.-L. Zhao, D.-X. Liang, S.-C. Cao, others, Ultrahard X-ray multifunctional application beamline at the SSRF</w:t>
      </w:r>
      <w:r>
        <w:t>, Nuclear Science and Techniques 35 (2024) 98. https://doi.org/</w:t>
      </w:r>
      <w:hyperlink r:id="rId28">
        <w:r>
          <w:rPr>
            <w:rStyle w:val="Hyperlink"/>
          </w:rPr>
          <w:t>10.1007/s41365-024-01468-4</w:t>
        </w:r>
      </w:hyperlink>
      <w:r>
        <w:t>.</w:t>
      </w:r>
    </w:p>
    <w:p w14:paraId="5CB994C6" w14:textId="77777777" w:rsidR="002C34B5" w:rsidRDefault="00313D9C">
      <w:pPr>
        <w:pStyle w:val="Bibliography"/>
      </w:pPr>
      <w:bookmarkStart w:id="41" w:name="ref-hammersley1998fit2d"/>
      <w:bookmarkEnd w:id="40"/>
      <w:r>
        <w:t xml:space="preserve">[19] </w:t>
      </w:r>
      <w:r>
        <w:tab/>
        <w:t>A.P. Hammersley, FIT2D V9.129 reference manual V3.1, (1998).</w:t>
      </w:r>
    </w:p>
    <w:p w14:paraId="568D56E1" w14:textId="77777777" w:rsidR="002C34B5" w:rsidRDefault="00313D9C">
      <w:pPr>
        <w:pStyle w:val="Bibliography"/>
      </w:pPr>
      <w:bookmarkStart w:id="42" w:name="ref-rietveld1969"/>
      <w:bookmarkEnd w:id="41"/>
      <w:r>
        <w:t xml:space="preserve">[20] </w:t>
      </w:r>
      <w:r>
        <w:tab/>
        <w:t>H.M. Rietveld, A profile refinement method for nuclear and magnetic structures, Journal of Applied Crystallography 2 (1969) 65–71. https://doi.org/</w:t>
      </w:r>
      <w:hyperlink r:id="rId29">
        <w:r>
          <w:rPr>
            <w:rStyle w:val="Hyperlink"/>
          </w:rPr>
          <w:t>10.1107/S0021889869006558</w:t>
        </w:r>
      </w:hyperlink>
      <w:r>
        <w:t>.</w:t>
      </w:r>
    </w:p>
    <w:p w14:paraId="074AE59C" w14:textId="77777777" w:rsidR="002C34B5" w:rsidRDefault="00313D9C">
      <w:pPr>
        <w:pStyle w:val="Bibliography"/>
      </w:pPr>
      <w:bookmarkStart w:id="43" w:name="ref-lutterotti1997maud"/>
      <w:bookmarkEnd w:id="42"/>
      <w:r>
        <w:t xml:space="preserve">[21] </w:t>
      </w:r>
      <w:r>
        <w:tab/>
      </w:r>
      <w:r>
        <w:t>L. Lutterotti, S. Matthies, H.R. Wenk, A.S. Schultz, J.W. Richardson, Combined texture and structure analysis of deformed limestone from time-of-flight neutron diffraction spectra, Journal of Applied Physics 81 (1997) 594–600. https://doi.org/</w:t>
      </w:r>
      <w:hyperlink r:id="rId30">
        <w:r>
          <w:rPr>
            <w:rStyle w:val="Hyperlink"/>
          </w:rPr>
          <w:t>10.1063/1.364220</w:t>
        </w:r>
      </w:hyperlink>
      <w:r>
        <w:t>.</w:t>
      </w:r>
    </w:p>
    <w:p w14:paraId="5F574C6A" w14:textId="2D3649BE" w:rsidR="002C34B5" w:rsidRDefault="00313D9C">
      <w:pPr>
        <w:pStyle w:val="Bibliography"/>
      </w:pPr>
      <w:bookmarkStart w:id="44" w:name="ref-lukas2007calphad"/>
      <w:bookmarkEnd w:id="43"/>
      <w:r>
        <w:t xml:space="preserve">[22] </w:t>
      </w:r>
      <w:r>
        <w:tab/>
        <w:t>H.L. Lukas, S.G. Fries, B. Sundman, Computational thermodynamics: The calphad method, Cambridge University Press, Cambridge, 2007. https://doi.org/</w:t>
      </w:r>
      <w:hyperlink r:id="rId31">
        <w:r>
          <w:rPr>
            <w:rStyle w:val="Hyperlink"/>
          </w:rPr>
          <w:t>10.1017/CBO9780511804137</w:t>
        </w:r>
      </w:hyperlink>
      <w:r>
        <w:t>.</w:t>
      </w:r>
    </w:p>
    <w:p w14:paraId="331B67EF" w14:textId="77777777" w:rsidR="002C34B5" w:rsidRDefault="00313D9C">
      <w:pPr>
        <w:pStyle w:val="Bibliography"/>
      </w:pPr>
      <w:bookmarkStart w:id="45" w:name="ref-otis2017pycalphad"/>
      <w:bookmarkEnd w:id="44"/>
      <w:r>
        <w:t xml:space="preserve">[23] </w:t>
      </w:r>
      <w:r>
        <w:tab/>
        <w:t>R. Otis, Z.-K. Liu, Pycalphad: CALPHAD-based computational thermodynamics in Python, Journal of Open Research Software 5 (2017) 1. https://doi.org/</w:t>
      </w:r>
      <w:hyperlink r:id="rId32">
        <w:r>
          <w:rPr>
            <w:rStyle w:val="Hyperlink"/>
          </w:rPr>
          <w:t>10.5334/jors.140</w:t>
        </w:r>
      </w:hyperlink>
      <w:r>
        <w:t>.</w:t>
      </w:r>
    </w:p>
    <w:p w14:paraId="3D6F051B" w14:textId="77777777" w:rsidR="002C34B5" w:rsidRDefault="00313D9C">
      <w:pPr>
        <w:pStyle w:val="Bibliography"/>
      </w:pPr>
      <w:bookmarkStart w:id="46" w:name="ref-hallstedt2017mpea"/>
      <w:bookmarkEnd w:id="45"/>
      <w:r>
        <w:t xml:space="preserve">[24] </w:t>
      </w:r>
      <w:r>
        <w:tab/>
        <w:t>B. Hallstedt, Database for high entropy alloys (mpea), version 2b, (2017).</w:t>
      </w:r>
    </w:p>
    <w:p w14:paraId="6723A902" w14:textId="77777777" w:rsidR="002C34B5" w:rsidRDefault="00313D9C">
      <w:pPr>
        <w:pStyle w:val="Bibliography"/>
      </w:pPr>
      <w:bookmarkStart w:id="47" w:name="ref-hallstedt2023mpea"/>
      <w:bookmarkEnd w:id="46"/>
      <w:r>
        <w:t xml:space="preserve">[25] </w:t>
      </w:r>
      <w:r>
        <w:tab/>
      </w:r>
      <w:r>
        <w:t>B. Hallstedt, M. Noori, F. Kies, F. Oppermann, C. Haase, Thermodynamic database for multi-principal element alloys within the system Al–Co–Cr–Fe–Mn–Ni–C, Calphad 83 (2023) 102644. https://doi.org/</w:t>
      </w:r>
      <w:hyperlink r:id="rId33">
        <w:r>
          <w:rPr>
            <w:rStyle w:val="Hyperlink"/>
          </w:rPr>
          <w:t>10.1016/j.calphad.2023.102644</w:t>
        </w:r>
      </w:hyperlink>
      <w:r>
        <w:t>.</w:t>
      </w:r>
    </w:p>
    <w:p w14:paraId="5E17A783" w14:textId="77777777" w:rsidR="002C34B5" w:rsidRDefault="00313D9C">
      <w:pPr>
        <w:pStyle w:val="Bibliography"/>
      </w:pPr>
      <w:bookmarkStart w:id="48" w:name="ref-prechimn04"/>
      <w:bookmarkEnd w:id="47"/>
      <w:r>
        <w:t xml:space="preserve">[26] </w:t>
      </w:r>
      <w:r>
        <w:tab/>
        <w:t>B. Hallstedt, A.V. Khvan, B.B. Lindahl, M. Selleby, S. Liu, PrecHiMn-4 — a thermodynamic database for high-Mn steels, Calphad 56 (2017) 49–57. https://doi.org/</w:t>
      </w:r>
      <w:hyperlink r:id="rId34">
        <w:r>
          <w:rPr>
            <w:rStyle w:val="Hyperlink"/>
          </w:rPr>
          <w:t>10.1016/j.calphad.2016.11.006</w:t>
        </w:r>
      </w:hyperlink>
      <w:r>
        <w:t>.</w:t>
      </w:r>
    </w:p>
    <w:p w14:paraId="4C823B1C" w14:textId="77777777" w:rsidR="002C34B5" w:rsidRDefault="00313D9C">
      <w:pPr>
        <w:pStyle w:val="Bibliography"/>
      </w:pPr>
      <w:bookmarkStart w:id="49" w:name="ref-mcfe"/>
      <w:bookmarkEnd w:id="48"/>
      <w:r>
        <w:t xml:space="preserve">[27] </w:t>
      </w:r>
      <w:r>
        <w:tab/>
        <w:t>E. Povoden-Karadeniz, MatCalc thermodynamic steel database mc_fe, version 2.059, (2016).</w:t>
      </w:r>
    </w:p>
    <w:p w14:paraId="3B2277F1" w14:textId="77777777" w:rsidR="002C34B5" w:rsidRDefault="00313D9C">
      <w:pPr>
        <w:pStyle w:val="Bibliography"/>
      </w:pPr>
      <w:bookmarkStart w:id="50" w:name="ref-tanaka2010science"/>
      <w:bookmarkEnd w:id="49"/>
      <w:r>
        <w:t>[28</w:t>
      </w:r>
      <w:r>
        <w:t xml:space="preserve">] </w:t>
      </w:r>
      <w:r>
        <w:tab/>
        <w:t>Y. Tanaka, Y. Himuro, R. Kainuma, Y. Sutou, T. Omori, K. Ishida, Ferrous polycrystalline shape-memory alloy showing huge superelasticity, Science 327 (2010) 1488–1490. https://doi.org/</w:t>
      </w:r>
      <w:hyperlink r:id="rId35">
        <w:r>
          <w:rPr>
            <w:rStyle w:val="Hyperlink"/>
          </w:rPr>
          <w:t>10.1126/science.1183169</w:t>
        </w:r>
      </w:hyperlink>
      <w:r>
        <w:t>.</w:t>
      </w:r>
    </w:p>
    <w:p w14:paraId="34601911" w14:textId="16B7C475" w:rsidR="002C34B5" w:rsidRDefault="00313D9C">
      <w:pPr>
        <w:pStyle w:val="Bibliography"/>
      </w:pPr>
      <w:bookmarkStart w:id="51" w:name="ref-vollmer2019natcomm"/>
      <w:bookmarkEnd w:id="50"/>
      <w:r>
        <w:t>[</w:t>
      </w:r>
      <w:r>
        <w:t>29</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6">
        <w:r>
          <w:rPr>
            <w:rStyle w:val="Hyperlink"/>
          </w:rPr>
          <w:t>10.1038/s41467-019-10308-8</w:t>
        </w:r>
      </w:hyperlink>
      <w:r>
        <w:t>.</w:t>
      </w:r>
    </w:p>
    <w:p w14:paraId="65AE63B6" w14:textId="22F88C74" w:rsidR="002C34B5" w:rsidRDefault="00313D9C">
      <w:pPr>
        <w:pStyle w:val="Bibliography"/>
      </w:pPr>
      <w:bookmarkStart w:id="52" w:name="ref-bhadeshia2010steels"/>
      <w:bookmarkEnd w:id="51"/>
      <w:r>
        <w:t>[</w:t>
      </w:r>
      <w:r>
        <w:t>30</w:t>
      </w:r>
      <w:r>
        <w:t xml:space="preserve">] </w:t>
      </w:r>
      <w:r>
        <w:tab/>
        <w:t>H.K.D.H. Bhadeshia, R.W.K. Honeycombe, Steels: Microstructure and properties, Fourth, Elsevier Butterworth-Heinemann, Oxford, 2017.</w:t>
      </w:r>
      <w:bookmarkEnd w:id="21"/>
      <w:bookmarkEnd w:id="23"/>
      <w:bookmarkEnd w:id="52"/>
    </w:p>
    <w:sectPr w:rsidR="002C34B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232350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34B5"/>
    <w:rsid w:val="002C5EFD"/>
    <w:rsid w:val="00313D9C"/>
    <w:rsid w:val="00395A69"/>
    <w:rsid w:val="0041567F"/>
    <w:rsid w:val="00D66AFE"/>
    <w:rsid w:val="00DC3E07"/>
    <w:rsid w:val="00E40B6B"/>
    <w:rsid w:val="00E86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29BB92-8083-4118-999F-4D8B19AA3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4156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7.06261" TargetMode="External"/><Relationship Id="rId18" Type="http://schemas.openxmlformats.org/officeDocument/2006/relationships/hyperlink" Target="https://doi.org/10.1007/978-0-387-47685-8" TargetMode="External"/><Relationship Id="rId26" Type="http://schemas.openxmlformats.org/officeDocument/2006/relationships/hyperlink" Target="https://doi.org/10.1016/j.matdes.2016.04.011" TargetMode="External"/><Relationship Id="rId21" Type="http://schemas.openxmlformats.org/officeDocument/2006/relationships/hyperlink" Target="https://doi.org/10.1016/j.conbuildmat.2014.04.032" TargetMode="External"/><Relationship Id="rId34" Type="http://schemas.openxmlformats.org/officeDocument/2006/relationships/hyperlink" Target="https://doi.org/10.1016/j.calphad.2016.11.006" TargetMode="External"/><Relationship Id="rId7" Type="http://schemas.openxmlformats.org/officeDocument/2006/relationships/image" Target="media/image3.jpg"/><Relationship Id="rId12" Type="http://schemas.openxmlformats.org/officeDocument/2006/relationships/hyperlink" Target="https://doi.org/10.1038/s41586-023-06735-9" TargetMode="External"/><Relationship Id="rId17" Type="http://schemas.openxmlformats.org/officeDocument/2006/relationships/hyperlink" Target="https://arxiv.org/abs/2409.06756" TargetMode="External"/><Relationship Id="rId25" Type="http://schemas.openxmlformats.org/officeDocument/2006/relationships/hyperlink" Target="https://doi.org/10.1007/s40830-017-0129-9" TargetMode="External"/><Relationship Id="rId33" Type="http://schemas.openxmlformats.org/officeDocument/2006/relationships/hyperlink" Target="https://doi.org/10.1016/j.calphad.2023.102644"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matdes.2013.11.084" TargetMode="External"/><Relationship Id="rId29" Type="http://schemas.openxmlformats.org/officeDocument/2006/relationships/hyperlink" Target="https://doi.org/10.1107/S0021889869006558"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oi.org/10.1007/s40830-019-00230-9" TargetMode="External"/><Relationship Id="rId32" Type="http://schemas.openxmlformats.org/officeDocument/2006/relationships/hyperlink" Target="https://doi.org/10.5334/jors.140" TargetMode="External"/><Relationship Id="rId37"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16/j.scriptamat.2015.12.007" TargetMode="External"/><Relationship Id="rId28" Type="http://schemas.openxmlformats.org/officeDocument/2006/relationships/hyperlink" Target="https://doi.org/10.1007/s41365-024-01468-4" TargetMode="External"/><Relationship Id="rId36" Type="http://schemas.openxmlformats.org/officeDocument/2006/relationships/hyperlink" Target="https://doi.org/10.1038/s41467-019-10308-8" TargetMode="External"/><Relationship Id="rId10" Type="http://schemas.openxmlformats.org/officeDocument/2006/relationships/image" Target="media/image6.jpg"/><Relationship Id="rId19" Type="http://schemas.openxmlformats.org/officeDocument/2006/relationships/hyperlink" Target="https://doi.org/10.1016/S0921-5093(99)00294-4" TargetMode="External"/><Relationship Id="rId31" Type="http://schemas.openxmlformats.org/officeDocument/2006/relationships/hyperlink" Target="https://doi.org/10.1017/CBO9780511804137"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6.12594" TargetMode="External"/><Relationship Id="rId22" Type="http://schemas.openxmlformats.org/officeDocument/2006/relationships/hyperlink" Target="https://doi.org/10.1126/science.1202232" TargetMode="External"/><Relationship Id="rId27" Type="http://schemas.openxmlformats.org/officeDocument/2006/relationships/hyperlink" Target="https://doi.org/10.1007/s41365-024-01487-1" TargetMode="External"/><Relationship Id="rId30" Type="http://schemas.openxmlformats.org/officeDocument/2006/relationships/hyperlink" Target="https://doi.org/10.1063/1.364220" TargetMode="External"/><Relationship Id="rId35" Type="http://schemas.openxmlformats.org/officeDocument/2006/relationships/hyperlink" Target="https://doi.org/10.1126/science.1183169" TargetMode="External"/><Relationship Id="rId8" Type="http://schemas.openxmlformats.org/officeDocument/2006/relationships/image" Target="media/image4.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9397</Words>
  <Characters>53566</Characters>
  <Application>Microsoft Office Word</Application>
  <DocSecurity>0</DocSecurity>
  <Lines>446</Lines>
  <Paragraphs>125</Paragraphs>
  <ScaleCrop>false</ScaleCrop>
  <Company/>
  <LinksUpToDate>false</LinksUpToDate>
  <CharactersWithSpaces>62838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2026-08-09T01:10:00Z</dcterms:created>
  <dcterms:modified xsi:type="dcterms:W3CDTF">2026-08-09T01:10:00Z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