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3.</w:t>
      </w:r>
      <w:r>
        <w:t xml:space="preserve"> </w:t>
      </w:r>
      <w:r>
        <w:t xml:space="preserve">Calculated equilibrium phase fractions (mol%) at 1200 °C, the solution-treatment temperature. The benchmark alloy cannot be evaluated in PrecHiMn-04, which contains no Ni.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Alloy</w:t>
            </w:r>
          </w:p>
        </w:tc>
        <w:tc>
          <w:tcPr/>
          <w:p>
            <w:pPr>
              <w:pStyle w:val="Compact"/>
            </w:pPr>
            <w:r>
              <w:t xml:space="preserve">mpea-02b</w:t>
            </w:r>
          </w:p>
        </w:tc>
        <w:tc>
          <w:tcPr/>
          <w:p>
            <w:pPr>
              <w:pStyle w:val="Compact"/>
            </w:pPr>
            <w:r>
              <w:t xml:space="preserve">PrecHiMn-04</w:t>
            </w:r>
          </w:p>
        </w:tc>
        <w:tc>
          <w:tcPr/>
          <w:p>
            <w:pPr>
              <w:pStyle w:val="Compact"/>
            </w:pPr>
            <w:r>
              <w:t xml:space="preserve">mc_fe v2.059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alloy</w:t>
            </w:r>
          </w:p>
        </w:tc>
        <w:tc>
          <w:tcPr/>
          <w:p>
            <w:pPr>
              <w:pStyle w:val="Compact"/>
            </w:pPr>
            <w:r>
              <w:t xml:space="preserve">100 α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100 α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LLM-alloy</w:t>
            </w:r>
          </w:p>
        </w:tc>
        <w:tc>
          <w:tcPr/>
          <w:p>
            <w:pPr>
              <w:pStyle w:val="Compact"/>
            </w:pPr>
            <w:r>
              <w:t xml:space="preserve">71.1 α + 28.9 γ</w:t>
            </w:r>
          </w:p>
        </w:tc>
        <w:tc>
          <w:tcPr/>
          <w:p>
            <w:pPr>
              <w:pStyle w:val="Compact"/>
            </w:pPr>
            <w:r>
              <w:t xml:space="preserve">64.5 α + 35.5 γ</w:t>
            </w:r>
          </w:p>
        </w:tc>
        <w:tc>
          <w:tcPr/>
          <w:p>
            <w:pPr>
              <w:pStyle w:val="Compact"/>
            </w:pPr>
            <w:r>
              <w:t xml:space="preserve">61.9 α + 38.1 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LLM-alloy, C removed</w:t>
            </w:r>
          </w:p>
        </w:tc>
        <w:tc>
          <w:tcPr/>
          <w:p>
            <w:pPr>
              <w:pStyle w:val="Compact"/>
            </w:pPr>
            <w:r>
              <w:t xml:space="preserve">100 α</w:t>
            </w:r>
          </w:p>
        </w:tc>
        <w:tc>
          <w:tcPr/>
          <w:p>
            <w:pPr>
              <w:pStyle w:val="Compact"/>
            </w:pPr>
            <w:r>
              <w:t xml:space="preserve">100 α</w:t>
            </w:r>
          </w:p>
        </w:tc>
        <w:tc>
          <w:tcPr/>
          <w:p>
            <w:pPr>
              <w:pStyle w:val="Compact"/>
            </w:pPr>
            <w:r>
              <w:t xml:space="preserve">100 α</w:t>
            </w:r>
          </w:p>
        </w:tc>
      </w:tr>
    </w:tbl>
    <w:sectPr w:rsidR="0015495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C40ECEB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140698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95A"/>
    <w:rsid w:val="000C7E0B"/>
    <w:rsid w:val="0015495A"/>
    <w:rsid w:val="002C5EFD"/>
    <w:rsid w:val="00DC3E0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5192</Words>
  <Characters>29601</Characters>
  <Application>Microsoft Office Word</Application>
  <DocSecurity>0</DocSecurity>
  <Lines>246</Lines>
  <Paragraphs>69</Paragraphs>
  <ScaleCrop>false</ScaleCrop>
  <Company/>
  <LinksUpToDate>false</LinksUpToDate>
  <CharactersWithSpaces>34724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2026-08-21T19:07:37Z</dcterms:created>
  <dcterms:modified xsi:type="dcterms:W3CDTF">2026-08-21T19:07:37Z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