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21.jpg" ContentType="image/jpeg"/>
  <Override PartName="/word/media/rId24.jpg" ContentType="image/jpeg"/>
  <Override PartName="/word/media/rId28.jpg" ContentType="image/jpeg"/>
  <Override PartName="/word/media/rId31.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Mechanical Responses of an AI-Hypothesized Super-elastic Fe-Mn-Al-Ni-Si-C Alloy</w:t>
      </w:r>
    </w:p>
    <w:p>
      <w:pPr>
        <w:pStyle w:val="FirstParagraph"/>
      </w:pPr>
      <w:r>
        <w:t xml:space="preserve">Frank Y. Cai</w:t>
      </w:r>
      <w:r>
        <w:rPr>
          <w:vertAlign w:val="superscript"/>
        </w:rPr>
        <w:t xml:space="preserve">1,*</w:t>
      </w:r>
      <w:r>
        <w:t xml:space="preserve">, S. Cai</w:t>
      </w:r>
      <w:r>
        <w:rPr>
          <w:vertAlign w:val="superscript"/>
        </w:rPr>
        <w:t xml:space="preserve">2</w:t>
      </w:r>
      <w:r>
        <w:t xml:space="preserve">, J. Yan</w:t>
      </w:r>
      <w:r>
        <w:rPr>
          <w:vertAlign w:val="superscript"/>
        </w:rPr>
        <w:t xml:space="preserve">3</w:t>
      </w:r>
    </w:p>
    <w:p>
      <w:pPr>
        <w:pStyle w:val="BodyText"/>
      </w:pPr>
      <w:r>
        <w:rPr>
          <w:vertAlign w:val="superscript"/>
        </w:rPr>
        <w:t xml:space="preserve">1</w:t>
      </w:r>
      <w:r>
        <w:t xml:space="preserve">School of Engineering Technologies, Purdue University, West Lafayette, Indiana, USA</w:t>
      </w:r>
    </w:p>
    <w:p>
      <w:pPr>
        <w:pStyle w:val="BodyText"/>
      </w:pPr>
      <w:r>
        <w:rPr>
          <w:vertAlign w:val="superscript"/>
        </w:rPr>
        <w:t xml:space="preserve">2</w:t>
      </w:r>
      <w:r>
        <w:t xml:space="preserve">Fort Wayne Metals, Fort Wayne, Indiana, USA</w:t>
      </w:r>
    </w:p>
    <w:p>
      <w:pPr>
        <w:pStyle w:val="BodyText"/>
      </w:pPr>
      <w:r>
        <w:rPr>
          <w:vertAlign w:val="superscript"/>
        </w:rPr>
        <w:t xml:space="preserve">3</w:t>
      </w:r>
      <w:r>
        <w:t xml:space="preserve">Shanghai Synchrotron Radiation Facility, Shanghai, China</w:t>
      </w:r>
    </w:p>
    <w:p>
      <w:pPr>
        <w:pStyle w:val="BodyText"/>
      </w:pPr>
      <w:r>
        <w:t xml:space="preserve">*Corresponding author. E-mail address: cai485@purdue.edu (F.Y. Cai).</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Fe-Mn-Al-Si-Ni-C composition, benchmarked against an established super-elastic Fe-Mn-Al-Ni alloy processed under identical conditions. The AI-hypothesized alloy was readily castable but failed to exhibit super-elasticity under any condition tested, deforming instead like a conventional elastic metal. Synchrotron X-ray diffraction showed that this failure stems from a phase-stability mismatch: the AI alloy forms a stable dual-phase microstructure with a minor ordered Fe-Al phase that does not support the transformation pathway the benchmark alloy relies on, likely promoted by its elevated carbon content. We conclude that LLM-proposed alloy compositions cannot be assumed to work as intended and should be screened for competing phase stability and interstitial content before physical synthesis is attempted.</w:t>
      </w:r>
    </w:p>
    <w:p>
      <w:pPr>
        <w:pStyle w:val="BodyText"/>
      </w:pPr>
      <w:r>
        <w:rPr>
          <w:b/>
          <w:bCs/>
        </w:rPr>
        <w:t xml:space="preserve">Keywords:</w:t>
      </w:r>
      <w:r>
        <w:t xml:space="preserve"> </w:t>
      </w:r>
      <w:r>
        <w:t xml:space="preserve">Fe-based shape memory alloy; super-elasticity; AI-guided alloy design; synchrotron XRD; abnormal grain growth</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t xml:space="preserve"> </w:t>
      </w:r>
      <w:r>
        <w:t xml:space="preserve">[1]</w:t>
      </w:r>
      <w:r>
        <w:t xml:space="preserve">, and agentic large language models with deep-research capabilities can ingest decades of metallurgical literature and propose compositions in seconds</w:t>
      </w:r>
      <w:r>
        <w:t xml:space="preserve"> </w:t>
      </w:r>
      <w:r>
        <w:t xml:space="preserve">[2,3]</w:t>
      </w:r>
      <w:r>
        <w:t xml:space="preserve">.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w:t>
      </w:r>
      <w:r>
        <w:t xml:space="preserve"> </w:t>
      </w:r>
      <w:r>
        <w:t xml:space="preserve">[4]</w:t>
      </w:r>
      <w:r>
        <w:t xml:space="preserve">, generative inverse design</w:t>
      </w:r>
      <w:r>
        <w:t xml:space="preserve"> </w:t>
      </w:r>
      <w:r>
        <w:t xml:space="preserve">[5]</w:t>
      </w:r>
      <w:r>
        <w:t xml:space="preserve">, and LLM-based hypothesis generation</w:t>
      </w:r>
      <w:r>
        <w:t xml:space="preserve"> </w:t>
      </w:r>
      <w:r>
        <w:t xml:space="preserve">[6]</w:t>
      </w:r>
      <w:r>
        <w:t xml:space="preserve">.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w:t>
      </w:r>
      <w:r>
        <w:t xml:space="preserve"> </w:t>
      </w:r>
      <w:r>
        <w:t xml:space="preserve">[1]</w:t>
      </w:r>
      <w:r>
        <w:t xml:space="preserve">.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[7,8]</w:t>
      </w:r>
      <w:r>
        <w:t xml:space="preserve">. As the dominant commercial SMA, Nitinol, a near 50Ni-50Ti alloy, offers large recoverable strains of 6–8%, excellent cyclic stability, and biocompatibility, which make it widely used in medical devices, aerospace actuators, and damping applications</w:t>
      </w:r>
      <w:r>
        <w:t xml:space="preserve"> </w:t>
      </w:r>
      <w:r>
        <w:t xml:space="preserve">[9,10]</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t xml:space="preserve"> </w:t>
      </w:r>
      <w:r>
        <w:t xml:space="preserve">[11]</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[12]</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t xml:space="preserve"> </w:t>
      </w:r>
      <w:r>
        <w:t xml:space="preserve">[13,14]</w:t>
      </w:r>
      <w:r>
        <w:t xml:space="preserve">. However, achieving a bamboo-like grain structure poses significant challenges, especially at industrial scale. In this study, we adopted this alloy system, trained an AI with over 200 published papers on Fe-based SMAs along with other publicly available information, and asked the AI for lower-cost alternatives with the potential to exhibit super-elasticity with small grain sizes. We processed one of the AI-hypothesized compositions alongside the alloy reported by Omori</w:t>
      </w:r>
      <w:r>
        <w:t xml:space="preserve"> </w:t>
      </w:r>
      <w:r>
        <w:rPr>
          <w:i/>
          <w:iCs/>
        </w:rPr>
        <w:t xml:space="preserve">et al.</w:t>
      </w:r>
      <w:r>
        <w:t xml:space="preserve"> </w:t>
      </w:r>
      <w:r>
        <w:t xml:space="preserve">[12]</w:t>
      </w:r>
      <w:r>
        <w:t xml:space="preserve">. Because the processing history was kept identical for both alloys, compositional differences are the sole variable determining the final mechanical properties.</w:t>
      </w:r>
    </w:p>
    <w:p>
      <w:r>
        <w:pict>
          <v:rect style="width:0;height:1.5pt" o:hralign="center" o:hrstd="t" o:hr="t"/>
        </w:pict>
      </w:r>
    </w:p>
    <w:bookmarkEnd w:id="10"/>
    <w:bookmarkStart w:id="16"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AI-hypothesized composition was generated by an LLM deep-research agent (Gemini 2.5 with the Deep Research tool</w:t>
      </w:r>
      <w:r>
        <w:t xml:space="preserve"> </w:t>
      </w:r>
      <w:r>
        <w:t xml:space="preserve">[2]</w:t>
      </w:r>
      <w:r>
        <w:t xml:space="preserve">) prompted to propose an Fe-Mn-Al-based composition optimized for room-temperature super-elasticity. The agent was instructed to (i) reason from the Fe-Mn-Al-Ni family established by Omori and co-workers</w:t>
      </w:r>
      <w:r>
        <w:t xml:space="preserve"> </w:t>
      </w:r>
      <w:r>
        <w:t xml:space="preserve">[12,15]</w:t>
      </w:r>
      <w:r>
        <w:t xml:space="preserve"> </w:t>
      </w:r>
      <w:r>
        <w:t xml:space="preserve">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 xml:space="preserve">et al.</w:t>
      </w:r>
      <w:r>
        <w:t xml:space="preserve"> </w:t>
      </w:r>
      <w:r>
        <w:t xml:space="preserve">[12]</w:t>
      </w:r>
      <w:r>
        <w:t xml:space="preserve">, was synthesized under identical conditions. These alloys are hereafter named the AI-alloy and Omori-alloy, respectively.</w:t>
      </w:r>
    </w:p>
    <w:p>
      <w:pPr>
        <w:pStyle w:val="BodyText"/>
      </w:pPr>
      <w:r>
        <w:t xml:space="preserve">Using high-purity raw elements, about 2 kg of each alloy was melted in a vacuum induction furnace and cast into ø50 mm ingots. Alloy chemistries are listed in</w:t>
      </w:r>
      <w:r>
        <w:t xml:space="preserve"> </w:t>
      </w:r>
      <w:r>
        <w:rPr>
          <w:b/>
          <w:bCs/>
        </w:rPr>
        <w:t xml:space="preserve">Table 1</w:t>
      </w:r>
      <w:r>
        <w:t xml:space="preserve">. For both alloys, the actual chemistries measured by inductively coupled plasma atomic emission spectroscopy (ICP-AES) are very close to the nominal values, except that Si is lower in the AI-alloy and unexpected P is present in the Omori-alloy; the source of the P is unknown.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pPr>
        <w:pStyle w:val="BodyText"/>
      </w:pPr>
      <w:r>
        <w:rPr>
          <w:b/>
          <w:bCs/>
        </w:rPr>
        <w:t xml:space="preserve">Table 1.</w:t>
      </w:r>
      <w:r>
        <w:t xml:space="preserve"> </w:t>
      </w:r>
      <w:r>
        <w:t xml:space="preserve">Chemistries (in wt%) of the two alloys as measured by inductively coupled plasma atomic emission spectroscopy (ICP-AES). Carbon was measured by ASTM E1019. Elements present at less than 0.01 wt% are not listed.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AI-alloy (nominal)</w:t>
            </w:r>
          </w:p>
        </w:tc>
        <w:tc>
          <w:tcPr/>
          <w:p>
            <w:pPr>
              <w:pStyle w:val="Compact"/>
            </w:pPr>
            <w:r>
              <w:t xml:space="preserve">AI-alloy (actual)</w:t>
            </w:r>
          </w:p>
        </w:tc>
        <w:tc>
          <w:tcPr/>
          <w:p>
            <w:pPr>
              <w:pStyle w:val="Compact"/>
            </w:pPr>
            <w:r>
              <w:t xml:space="preserve">Omori-alloy (nominal)</w:t>
            </w:r>
          </w:p>
        </w:tc>
        <w:tc>
          <w:tcPr/>
          <w:p>
            <w:pPr>
              <w:pStyle w:val="Compact"/>
            </w:pPr>
            <w:r>
              <w:t xml:space="preserve">Omori-alloy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w:t>
      </w:r>
      <w:r>
        <w:t xml:space="preserve"> </w:t>
      </w:r>
      <w:r>
        <w:t xml:space="preserve">[16]</w:t>
      </w:r>
      <w:r>
        <w:t xml:space="preserve">. Heat treatment above 1200 °C caused severe oxidation or furnace contamination.</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unloaded to zero stress, and continued to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t xml:space="preserve"> </w:t>
      </w:r>
      <w:r>
        <w:t xml:space="preserve">[17,18]</w:t>
      </w:r>
      <w:r>
        <w:t xml:space="preserve">. The incident wavelength was λ = 0.12587 Å with a beam size of 0.5 × 0.5 mm². Two-dimensional Debye–Scherrer patterns were collected from each specimen before and after tensile deformation to test for any potential phase transformation. These 2D images were processed using FIT2D</w:t>
      </w:r>
      <w:r>
        <w:t xml:space="preserve"> </w:t>
      </w:r>
      <w:r>
        <w:t xml:space="preserve">[19]</w:t>
      </w:r>
      <w:r>
        <w:t xml:space="preserve">, where diffraction data were sliced at 5-degree intervals along the 360-degree azimuth and integrated to generate 72 diffraction spectra, which were then fitted by Rietveld refinement</w:t>
      </w:r>
      <w:r>
        <w:t xml:space="preserve"> </w:t>
      </w:r>
      <w:r>
        <w:t xml:space="preserve">[20]</w:t>
      </w:r>
      <w:r>
        <w:t xml:space="preserve"> </w:t>
      </w:r>
      <w:r>
        <w:t xml:space="preserve">in MAUD software</w:t>
      </w:r>
      <w:r>
        <w:t xml:space="preserve"> </w:t>
      </w:r>
      <w:r>
        <w:t xml:space="preserve">[21]</w:t>
      </w:r>
      <w:r>
        <w:t xml:space="preserve"> </w:t>
      </w:r>
      <w:r>
        <w:t xml:space="preserve">to identify phase constitutions, volume fractions, and crystal orientations of the different phases.</w:t>
      </w:r>
    </w:p>
    <w:p>
      <w:r>
        <w:pict>
          <v:rect style="width:0;height:1.5pt" o:hralign="center" o:hrstd="t" o:hr="t"/>
        </w:pict>
      </w:r>
    </w:p>
    <w:bookmarkEnd w:id="15"/>
    <w:bookmarkEnd w:id="16"/>
    <w:bookmarkStart w:id="38" w:name="experiment-results"/>
    <w:p>
      <w:pPr>
        <w:pStyle w:val="Heading1"/>
      </w:pPr>
      <w:r>
        <w:t xml:space="preserve">3. Experiment Results</w:t>
      </w:r>
    </w:p>
    <w:bookmarkStart w:id="20" w:name="microstructure"/>
    <w:p>
      <w:pPr>
        <w:pStyle w:val="Heading2"/>
      </w:pPr>
      <w:r>
        <w:t xml:space="preserve">3.1 Microstructure</w:t>
      </w:r>
    </w:p>
    <w:p>
      <w:pPr>
        <w:pStyle w:val="FirstParagraph"/>
      </w:pPr>
      <w:r>
        <w:rPr>
          <w:b/>
          <w:bCs/>
        </w:rPr>
        <w:t xml:space="preserve">Fig. 1a</w:t>
      </w:r>
      <w:r>
        <w:t xml:space="preserve"> </w:t>
      </w:r>
      <w:r>
        <w:t xml:space="preserve">shows the microstructure of the AI 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identifies this morphology as an intimate mixture of a matrix (darker grey area) interlocked with blocky islands (brighter areas). EDS analysis detected higher Al content in the matrix but more Mn in the blocky islands, suggesting that the AI alloy has a dual-phase structure, where the Al-rich areas are likely BCC α-phase and the Mn-rich areas are FCC γ-phase.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pPr>
        <w:pStyle w:val="CaptionedFigure"/>
      </w:pPr>
      <w:r>
        <w:drawing>
          <wp:inline>
            <wp:extent cx="5334000" cy="1357799"/>
            <wp:effectExtent b="0" l="0" r="0" t="0"/>
            <wp:docPr descr="Fig. 1. Microstructure of the AI alloy after heat treatment: (a) 1200 °C, 1 min, optical; (b) 1200 °C, 1 min, SEM; (c) 1200 °C, 40 min, optical." title="" id="18" name="Picture"/>
            <a:graphic>
              <a:graphicData uri="http://schemas.openxmlformats.org/drawingml/2006/picture">
                <pic:pic>
                  <pic:nvPicPr>
                    <pic:cNvPr descr="figures/Figure_1.jpg" id="19" name="Picture"/>
                    <pic:cNvPicPr>
                      <a:picLocks noChangeArrowheads="1" noChangeAspect="1"/>
                    </pic:cNvPicPr>
                  </pic:nvPicPr>
                  <pic:blipFill>
                    <a:blip r:embed="rId17"/>
                    <a:stretch>
                      <a:fillRect/>
                    </a:stretch>
                  </pic:blipFill>
                  <pic:spPr bwMode="auto">
                    <a:xfrm>
                      <a:off x="0" y="0"/>
                      <a:ext cx="5334000" cy="135779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Microstructure of the AI alloy after heat treatment: (a) 1200 °C, 1 min, optical; (b) 1200 °C, 1 min, SEM; (c) 1200 °C, 40 min, optical.</w:t>
      </w:r>
    </w:p>
    <w:bookmarkEnd w:id="20"/>
    <w:bookmarkStart w:id="27" w:name="cyclic-stressstrain-response"/>
    <w:p>
      <w:pPr>
        <w:pStyle w:val="Heading2"/>
      </w:pPr>
      <w:r>
        <w:t xml:space="preserve">3.2 Cyclic stress–strain response</w:t>
      </w:r>
    </w:p>
    <w:p>
      <w:pPr>
        <w:pStyle w:val="FirstParagraph"/>
      </w:pPr>
      <w:r>
        <w:t xml:space="preserve">Cyclic tensile stress–strain curves for the AI 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AI-alloy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 xml:space="preserve">[22,23]</w:t>
      </w:r>
      <w:r>
        <w:t xml:space="preserve">; this was not the case for the AI alloy (</w:t>
      </w:r>
      <w:r>
        <w:rPr>
          <w:b/>
          <w:bCs/>
        </w:rPr>
        <w:t xml:space="preserve">Fig. 2f</w:t>
      </w:r>
      <w:r>
        <w:t xml:space="preserve">).</w:t>
      </w:r>
    </w:p>
    <w:p>
      <w:pPr>
        <w:pStyle w:val="BodyText"/>
      </w:pPr>
      <w:r>
        <w:rPr>
          <w:b/>
          <w:bCs/>
        </w:rPr>
        <w:t xml:space="preserve">Table 2.</w:t>
      </w:r>
      <w:r>
        <w:t xml:space="preserve"> </w:t>
      </w:r>
      <w:r>
        <w:t xml:space="preserve">Mechanical properties of the AI alloy after heat treatment for 1 minute at different temperatures.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1528</w:t>
            </w:r>
          </w:p>
        </w:tc>
        <w:tc>
          <w:tcPr/>
          <w:p>
            <w:pPr>
              <w:pStyle w:val="Compact"/>
            </w:pPr>
            <w:r>
              <w:t xml:space="preserve">1925</w:t>
            </w:r>
          </w:p>
        </w:tc>
        <w:tc>
          <w:tcPr/>
          <w:p>
            <w:pPr>
              <w:pStyle w:val="Compact"/>
            </w:pPr>
            <w:r>
              <w:t xml:space="preserve">2.0</w:t>
            </w:r>
          </w:p>
        </w:tc>
        <w:tc>
          <w:tcPr/>
          <w:p>
            <w:pPr>
              <w:pStyle w:val="Compact"/>
            </w:pPr>
            <w:r>
              <w:t xml:space="preserve">143.7</w:t>
            </w:r>
          </w:p>
        </w:tc>
      </w:tr>
      <w:tr>
        <w:tc>
          <w:tcPr/>
          <w:p>
            <w:pPr>
              <w:pStyle w:val="Compact"/>
            </w:pPr>
            <w:r>
              <w:t xml:space="preserve">600</w:t>
            </w:r>
          </w:p>
        </w:tc>
        <w:tc>
          <w:tcPr/>
          <w:p>
            <w:pPr>
              <w:pStyle w:val="Compact"/>
            </w:pPr>
            <w:r>
              <w:t xml:space="preserve">1948</w:t>
            </w:r>
          </w:p>
        </w:tc>
        <w:tc>
          <w:tcPr/>
          <w:p>
            <w:pPr>
              <w:pStyle w:val="Compact"/>
            </w:pPr>
            <w:r>
              <w:t xml:space="preserve">2293</w:t>
            </w:r>
          </w:p>
        </w:tc>
        <w:tc>
          <w:tcPr/>
          <w:p>
            <w:pPr>
              <w:pStyle w:val="Compact"/>
            </w:pPr>
            <w:r>
              <w:t xml:space="preserve">2.3</w:t>
            </w:r>
          </w:p>
        </w:tc>
        <w:tc>
          <w:tcPr/>
          <w:p>
            <w:pPr>
              <w:pStyle w:val="Compact"/>
            </w:pPr>
            <w:r>
              <w:t xml:space="preserve">157.4</w:t>
            </w:r>
          </w:p>
        </w:tc>
      </w:tr>
      <w:tr>
        <w:tc>
          <w:tcPr/>
          <w:p>
            <w:pPr>
              <w:pStyle w:val="Compact"/>
            </w:pPr>
            <w:r>
              <w:t xml:space="preserve">700</w:t>
            </w:r>
          </w:p>
        </w:tc>
        <w:tc>
          <w:tcPr/>
          <w:p>
            <w:pPr>
              <w:pStyle w:val="Compact"/>
            </w:pPr>
            <w:r>
              <w:t xml:space="preserve">1683</w:t>
            </w:r>
          </w:p>
        </w:tc>
        <w:tc>
          <w:tcPr/>
          <w:p>
            <w:pPr>
              <w:pStyle w:val="Compact"/>
            </w:pPr>
            <w:r>
              <w:t xml:space="preserve">2009</w:t>
            </w:r>
          </w:p>
        </w:tc>
        <w:tc>
          <w:tcPr/>
          <w:p>
            <w:pPr>
              <w:pStyle w:val="Compact"/>
            </w:pPr>
            <w:r>
              <w:t xml:space="preserve">2.2</w:t>
            </w:r>
          </w:p>
        </w:tc>
        <w:tc>
          <w:tcPr/>
          <w:p>
            <w:pPr>
              <w:pStyle w:val="Compact"/>
            </w:pPr>
            <w:r>
              <w:t xml:space="preserve">164.8</w:t>
            </w:r>
          </w:p>
        </w:tc>
      </w:tr>
      <w:tr>
        <w:tc>
          <w:tcPr/>
          <w:p>
            <w:pPr>
              <w:pStyle w:val="Compact"/>
            </w:pPr>
            <w:r>
              <w:t xml:space="preserve">800</w:t>
            </w:r>
          </w:p>
        </w:tc>
        <w:tc>
          <w:tcPr/>
          <w:p>
            <w:pPr>
              <w:pStyle w:val="Compact"/>
            </w:pPr>
            <w:r>
              <w:t xml:space="preserve">1167</w:t>
            </w:r>
          </w:p>
        </w:tc>
        <w:tc>
          <w:tcPr/>
          <w:p>
            <w:pPr>
              <w:pStyle w:val="Compact"/>
            </w:pPr>
            <w:r>
              <w:t xml:space="preserve">1216</w:t>
            </w:r>
          </w:p>
        </w:tc>
        <w:tc>
          <w:tcPr/>
          <w:p>
            <w:pPr>
              <w:pStyle w:val="Compact"/>
            </w:pPr>
            <w:r>
              <w:t xml:space="preserve">24.0</w:t>
            </w:r>
          </w:p>
        </w:tc>
        <w:tc>
          <w:tcPr/>
          <w:p>
            <w:pPr>
              <w:pStyle w:val="Compact"/>
            </w:pPr>
            <w:r>
              <w:t xml:space="preserve">155.5</w:t>
            </w:r>
          </w:p>
        </w:tc>
      </w:tr>
      <w:tr>
        <w:tc>
          <w:tcPr/>
          <w:p>
            <w:pPr>
              <w:pStyle w:val="Compact"/>
            </w:pPr>
            <w:r>
              <w:t xml:space="preserve">900</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152.2</w:t>
            </w:r>
          </w:p>
        </w:tc>
      </w:tr>
      <w:tr>
        <w:tc>
          <w:tcPr/>
          <w:p>
            <w:pPr>
              <w:pStyle w:val="Compact"/>
            </w:pPr>
            <w:r>
              <w:t xml:space="preserve">1000</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155.6</w:t>
            </w:r>
          </w:p>
        </w:tc>
      </w:tr>
      <w:tr>
        <w:tc>
          <w:tcPr/>
          <w:p>
            <w:pPr>
              <w:pStyle w:val="Compact"/>
            </w:pPr>
            <w:r>
              <w:t xml:space="preserve">1100</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156.8</w:t>
            </w:r>
          </w:p>
        </w:tc>
      </w:tr>
      <w:tr>
        <w:tc>
          <w:tcPr/>
          <w:p>
            <w:pPr>
              <w:pStyle w:val="Compact"/>
            </w:pPr>
            <w:r>
              <w:t xml:space="preserve">1200</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163.0</w:t>
            </w:r>
          </w:p>
        </w:tc>
      </w:tr>
    </w:tbl>
    <w:p>
      <w:pPr>
        <w:pStyle w:val="CaptionedFigure"/>
      </w:pPr>
      <w:r>
        <w:drawing>
          <wp:inline>
            <wp:extent cx="4937760" cy="2849880"/>
            <wp:effectExtent b="0" l="0" r="0" t="0"/>
            <wp:docPr descr="Fig. 2. Cyclic stress–strain curves of the AI alloy after annealing for 1 minute at various temperatures. Wire diameter is 0.36 mm. Panel (f) shows the stress–strain response of the annealed-plus-aged sample." title="" id="22" name="Picture"/>
            <a:graphic>
              <a:graphicData uri="http://schemas.openxmlformats.org/drawingml/2006/picture">
                <pic:pic>
                  <pic:nvPicPr>
                    <pic:cNvPr descr="figures/Figure_2.jpg" id="23" name="Picture"/>
                    <pic:cNvPicPr>
                      <a:picLocks noChangeArrowheads="1" noChangeAspect="1"/>
                    </pic:cNvPicPr>
                  </pic:nvPicPr>
                  <pic:blipFill>
                    <a:blip r:embed="rId21"/>
                    <a:stretch>
                      <a:fillRect/>
                    </a:stretch>
                  </pic:blipFill>
                  <pic:spPr bwMode="auto">
                    <a:xfrm>
                      <a:off x="0" y="0"/>
                      <a:ext cx="4937760" cy="28498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stress–strain curves of the AI alloy after annealing for 1 minute at various temperatures. Wire diameter is 0.36 mm. Panel (f) shows the stress–strain response of the annealed-plus-aged sample.</w:t>
      </w:r>
    </w:p>
    <w:p>
      <w:pPr>
        <w:pStyle w:val="BodyText"/>
      </w:pPr>
      <w:r>
        <w:rPr>
          <w:b/>
          <w:bCs/>
        </w:rPr>
        <w:t xml:space="preserve">Fig. 3</w:t>
      </w:r>
      <w:r>
        <w:t xml:space="preserve"> </w:t>
      </w:r>
      <w:r>
        <w:t xml:space="preserve">compares the stress–strain behavior of the AI and Omori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Omori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Omori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AI alloy during this test, indicating that it deforms plastically with no pseudo-elasticity regardless of heat-treating condition. We conclude that the microstructure of the AI alloy is very stable and that stress-induced phase transformation is not one of its active deformation mechanisms.</w:t>
      </w:r>
    </w:p>
    <w:p>
      <w:pPr>
        <w:pStyle w:val="CaptionedFigure"/>
      </w:pPr>
      <w:r>
        <w:drawing>
          <wp:inline>
            <wp:extent cx="3630167" cy="1371600"/>
            <wp:effectExtent b="0" l="0" r="0" t="0"/>
            <wp:docPr descr="Fig. 3. Loading–unloading–heating tests of (a) the AI alloy and (b) the Omori alloy. Samples were heat treated at 1200 °C for 1 minute. Black arrows show the deformation path; the red arrow highlights the strain recovery caused by heating." title="" id="25" name="Picture"/>
            <a:graphic>
              <a:graphicData uri="http://schemas.openxmlformats.org/drawingml/2006/picture">
                <pic:pic>
                  <pic:nvPicPr>
                    <pic:cNvPr descr="figures/Figure_3.jpg" id="26" name="Picture"/>
                    <pic:cNvPicPr>
                      <a:picLocks noChangeArrowheads="1" noChangeAspect="1"/>
                    </pic:cNvPicPr>
                  </pic:nvPicPr>
                  <pic:blipFill>
                    <a:blip r:embed="rId24"/>
                    <a:stretch>
                      <a:fillRect/>
                    </a:stretch>
                  </pic:blipFill>
                  <pic:spPr bwMode="auto">
                    <a:xfrm>
                      <a:off x="0" y="0"/>
                      <a:ext cx="3630167" cy="137160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Loading–unloading–heating tests of (a) the AI alloy and (b) the Omori alloy. Samples were heat treated at 1200 °C for 1 minute. Black arrows show the deformation path; the red arrow highlights the strain recovery caused by heating.</w:t>
      </w:r>
    </w:p>
    <w:bookmarkEnd w:id="27"/>
    <w:bookmarkStart w:id="37"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and the results of Rietveld refinement (upper half) for the AI alloy. Based on this result, the AI alloy is estimated to consist of ≈62% FCC γ-phase, ≈34% BCC α-phase, and ≈4% DO₃ Fe₃Al phase.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 xml:space="preserve">Figs. 2 and 3</w:t>
      </w:r>
      <w:r>
        <w:t xml:space="preserve">) together with the unchanged multi-phase pattern points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Omori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Omori alloy is also clearly shown in</w:t>
      </w:r>
      <w:r>
        <w:t xml:space="preserve"> </w:t>
      </w:r>
      <w:r>
        <w:rPr>
          <w:b/>
          <w:bCs/>
        </w:rPr>
        <w:t xml:space="preserve">Fig. 6b</w:t>
      </w:r>
      <w:r>
        <w:t xml:space="preserve">.</w:t>
      </w:r>
    </w:p>
    <w:p>
      <w:pPr>
        <w:pStyle w:val="BodyText"/>
      </w:pPr>
      <w:r>
        <w:t xml:space="preserve">It is worth noting that the AI alloy after AGG heat treatment showed an X-ray diffraction pattern similar to</w:t>
      </w:r>
      <w:r>
        <w:t xml:space="preserve"> </w:t>
      </w:r>
      <w:r>
        <w:rPr>
          <w:b/>
          <w:bCs/>
        </w:rPr>
        <w:t xml:space="preserve">Fig. 4a</w:t>
      </w:r>
      <w:r>
        <w:t xml:space="preserve">, indicating that the multi-phase microstructure is a stable state of this alloy at 1200 °C.</w:t>
      </w:r>
    </w:p>
    <w:p>
      <w:pPr>
        <w:pStyle w:val="CaptionedFigure"/>
      </w:pPr>
      <w:r>
        <w:drawing>
          <wp:inline>
            <wp:extent cx="2426208" cy="2292096"/>
            <wp:effectExtent b="0" l="0" r="0" t="0"/>
            <wp:docPr descr="Fig. 4. 2D synchrotron X-ray diffraction images of (a) AI alloy annealed at 1200 °C for 1 min, (b) annealed AI alloy after 10% tensile strain, (c) Omori alloy annealed at 1200 °C for 1 min, and (d) annealed Omori alloy after 8% tensile strain." title="" id="29" name="Picture"/>
            <a:graphic>
              <a:graphicData uri="http://schemas.openxmlformats.org/drawingml/2006/picture">
                <pic:pic>
                  <pic:nvPicPr>
                    <pic:cNvPr descr="figures/Figure_4.jpg" id="30" name="Picture"/>
                    <pic:cNvPicPr>
                      <a:picLocks noChangeArrowheads="1" noChangeAspect="1"/>
                    </pic:cNvPicPr>
                  </pic:nvPicPr>
                  <pic:blipFill>
                    <a:blip r:embed="rId28"/>
                    <a:stretch>
                      <a:fillRect/>
                    </a:stretch>
                  </pic:blipFill>
                  <pic:spPr bwMode="auto">
                    <a:xfrm>
                      <a:off x="0" y="0"/>
                      <a:ext cx="2426208" cy="229209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2D synchrotron X-ray diffraction images of (a) AI alloy annealed at 1200 °C for 1 min, (b) annealed AI alloy after 10% tensile strain, (c) Omori alloy annealed at 1200 °C for 1 min, and (d) annealed Omori alloy after 8% tensile strain.</w:t>
      </w:r>
    </w:p>
    <w:p>
      <w:pPr>
        <w:pStyle w:val="CaptionedFigure"/>
      </w:pPr>
      <w:r>
        <w:drawing>
          <wp:inline>
            <wp:extent cx="2895600" cy="2313432"/>
            <wp:effectExtent b="0" l="0" r="0" t="0"/>
            <wp:docPr descr="Fig. 5. Comparison between synchrotron X-ray diffraction data (lower half) and results of Rietveld refinement (upper half) for the AI alloy heat treated at 1200 °C for 1 minute." title="" id="32" name="Picture"/>
            <a:graphic>
              <a:graphicData uri="http://schemas.openxmlformats.org/drawingml/2006/picture">
                <pic:pic>
                  <pic:nvPicPr>
                    <pic:cNvPr descr="figures/Figure_5.jpg" id="33" name="Picture"/>
                    <pic:cNvPicPr>
                      <a:picLocks noChangeArrowheads="1" noChangeAspect="1"/>
                    </pic:cNvPicPr>
                  </pic:nvPicPr>
                  <pic:blipFill>
                    <a:blip r:embed="rId31"/>
                    <a:stretch>
                      <a:fillRect/>
                    </a:stretch>
                  </pic:blipFill>
                  <pic:spPr bwMode="auto">
                    <a:xfrm>
                      <a:off x="0" y="0"/>
                      <a:ext cx="2895600" cy="2313432"/>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Comparison between synchrotron X-ray diffraction data (lower half) and results of Rietveld refinement (upper half) for the AI alloy heat treated at 1200 °C for 1 minute.</w:t>
      </w:r>
    </w:p>
    <w:p>
      <w:pPr>
        <w:pStyle w:val="CaptionedFigure"/>
      </w:pPr>
      <w:r>
        <w:drawing>
          <wp:inline>
            <wp:extent cx="2337816" cy="2709672"/>
            <wp:effectExtent b="0" l="0" r="0" t="0"/>
            <wp:docPr descr="Fig. 6. Azimuthally integrated X-ray diffraction spectra of (a) the AI alloy and (b) the Omori alloy before and after deformation. Samples were heat treated at 1200 °C for 1 minute before deformation." title="" id="35" name="Picture"/>
            <a:graphic>
              <a:graphicData uri="http://schemas.openxmlformats.org/drawingml/2006/picture">
                <pic:pic>
                  <pic:nvPicPr>
                    <pic:cNvPr descr="figures/Figure_6.jpg" id="36" name="Picture"/>
                    <pic:cNvPicPr>
                      <a:picLocks noChangeArrowheads="1" noChangeAspect="1"/>
                    </pic:cNvPicPr>
                  </pic:nvPicPr>
                  <pic:blipFill>
                    <a:blip r:embed="rId34"/>
                    <a:stretch>
                      <a:fillRect/>
                    </a:stretch>
                  </pic:blipFill>
                  <pic:spPr bwMode="auto">
                    <a:xfrm>
                      <a:off x="0" y="0"/>
                      <a:ext cx="2337816" cy="2709672"/>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Azimuthally integrated X-ray diffraction spectra of (a) the AI alloy and (b) the Omori alloy before and after deformation. Samples were heat treated at 1200 °C for 1 minute before deformation.</w:t>
      </w:r>
    </w:p>
    <w:p>
      <w:r>
        <w:pict>
          <v:rect style="width:0;height:1.5pt" o:hralign="center" o:hrstd="t" o:hr="t"/>
        </w:pict>
      </w:r>
    </w:p>
    <w:bookmarkEnd w:id="37"/>
    <w:bookmarkEnd w:id="38"/>
    <w:bookmarkStart w:id="42" w:name="discussion"/>
    <w:p>
      <w:pPr>
        <w:pStyle w:val="Heading1"/>
      </w:pPr>
      <w:r>
        <w:t xml:space="preserve">4. Discussion</w:t>
      </w:r>
    </w:p>
    <w:bookmarkStart w:id="39" w:name="X58357b202da789a88ec9478e0111cd3c94b5213"/>
    <w:p>
      <w:pPr>
        <w:pStyle w:val="Heading2"/>
      </w:pPr>
      <w:r>
        <w:t xml:space="preserve">4.1 Origin of the absence of stress-induced phase transformation</w:t>
      </w:r>
    </w:p>
    <w:p>
      <w:pPr>
        <w:pStyle w:val="FirstParagraph"/>
      </w:pPr>
      <w:r>
        <w:t xml:space="preserve">The failure of the AI-hypothesized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AI-alloy is structurally dominated by the γ-phase (≈62%), whereas the α-phase accounts for only ≈37% of the volume fraction (Sec. 3.3). Compared to the Omori alloy (43.5Fe-34Mn-15Al-7.5Ni at%), the AI alloy has less Mn, Al, and Ni, but higher Fe, Si, and C. It is known that Fe, Si, and Al stabilize the BCC α-phase, while Mn, Ni, and C stabilize the FCC γ-phase</w:t>
      </w:r>
      <w:r>
        <w:t xml:space="preserve"> </w:t>
      </w:r>
      <w:r>
        <w:t xml:space="preserve">[24]</w:t>
      </w:r>
      <w:r>
        <w:t xml:space="preserve">.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 adding C appears to be more consequential than the changes in other elements. It is also worth noting that formation of the minor Fe₃Al phase extracts Fe and Al from the matrix, which could further decrease α-phase stability. Consequently, the AI alloy lacks the chemical driving force necessary to trigger a stress-induced phase transformation.</w:t>
      </w:r>
    </w:p>
    <w:p>
      <w:pPr>
        <w:pStyle w:val="BodyText"/>
      </w:pPr>
      <w:r>
        <w:t xml:space="preserve">Furthermore, mechanical and structural analyses indicate that the AI-alloy accommodates macroscopic deformation via irreversible dislocation slip rather than phase transitions. Whereas the Omori-alloy relies on coherent, ordered β-NiAl (B2) precipitates within its BCC matrix to suppress permanent slip and promote transformation reversibility, the AI-alloy instead forms a DO₃ Fe₃Al phase. Without the precipitation-hardening effect provided by fine B2 precipitates, the matrix lacks sufficient resistance to plastic flow. This is confirmed by the post-deformation synchrotron XRD patterns, where the transition from sharp, discrete spots to broad, partially arced rings reflects dislocation multiplication and sub-grain formation. Thus, the microstructural state of the AI-alloy remains highly stable at 1200 °C, favoring dislocation- or twinning-mediated plasticity over stress-induced martensitic transformation.</w:t>
      </w:r>
    </w:p>
    <w:bookmarkEnd w:id="39"/>
    <w:bookmarkStart w:id="40" w:name="X14190cefc5af7e6c61eb8a7f0ac8ec72264613c"/>
    <w:p>
      <w:pPr>
        <w:pStyle w:val="Heading2"/>
      </w:pPr>
      <w:r>
        <w:t xml:space="preserve">4.2 Anneal-temperature dependence of mechanical properties</w:t>
      </w:r>
    </w:p>
    <w:p>
      <w:pPr>
        <w:pStyle w:val="FirstParagraph"/>
      </w:pPr>
      <w:r>
        <w:t xml:space="preserve">Although the AI 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1216 MPa and yield strength from 1683 to 1167 MPa. This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bookmarkEnd w:id="40"/>
    <w:bookmarkStart w:id="41" w:name="implications-for-ai-guided-alloy-design"/>
    <w:p>
      <w:pPr>
        <w:pStyle w:val="Heading2"/>
      </w:pPr>
      <w:r>
        <w:t xml:space="preserve">4.3 Implications for AI-guided alloy design</w:t>
      </w:r>
    </w:p>
    <w:p>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structure–processing–property relationships in shape memory alloys.</w:t>
      </w:r>
    </w:p>
    <w:p>
      <w:r>
        <w:pict>
          <v:rect style="width:0;height:1.5pt" o:hralign="center" o:hrstd="t" o:hr="t"/>
        </w:pict>
      </w:r>
    </w:p>
    <w:bookmarkEnd w:id="41"/>
    <w:bookmarkEnd w:id="42"/>
    <w:bookmarkStart w:id="43"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w:t>
      </w:r>
      <w:r>
        <w:t xml:space="preserve"> </w:t>
      </w:r>
      <w:r>
        <w:rPr>
          <w:i/>
          <w:iCs/>
        </w:rPr>
        <w:t xml:space="preserve">et al.</w:t>
      </w:r>
      <w:r>
        <w:t xml:space="preserve"> </w:t>
      </w:r>
      <w:r>
        <w:t xml:space="preserve">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r>
        <w:pict>
          <v:rect style="width:0;height:1.5pt" o:hralign="center" o:hrstd="t" o:hr="t"/>
        </w:pict>
      </w:r>
    </w:p>
    <w:bookmarkEnd w:id="43"/>
    <w:bookmarkStart w:id="44"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44"/>
    <w:bookmarkStart w:id="9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Generative AI use.</w:t>
      </w:r>
      <w:r>
        <w:t xml:space="preserve"> </w:t>
      </w:r>
      <w:r>
        <w:t xml:space="preserve">An LLM deep-research agent (Google Gemini 2.5, Deep Research) was used to hypothesize the AI-alloy composition under study, as described in Sec. 2.1; this use is a study method, not a manuscript-preparation aid. No generative AI tools were used to draft, edit, or otherwise prepare the text of this manuscript.</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90" w:name="refs"/>
    <w:bookmarkStart w:id="46" w:name="ref-merchant2023gnome"/>
    <w:p>
      <w:pPr>
        <w:pStyle w:val="Bibliography"/>
      </w:pPr>
      <w:r>
        <w:t xml:space="preserve">[1]</w:t>
      </w:r>
      <w:r>
        <w:t xml:space="preserve"> </w:t>
      </w:r>
      <w:r>
        <w:t xml:space="preserve">	</w:t>
      </w:r>
      <w:r>
        <w:t xml:space="preserve">A. Merchant, S. Batzner, S.S. Schoenholz, M. Aykol, G. Cheon, E.D. Cubuk, Scaling deep learning for materials discovery, Nature 624 (2023) 80–85. https://doi.org/</w:t>
      </w:r>
      <w:hyperlink r:id="rId45">
        <w:r>
          <w:rPr>
            <w:rStyle w:val="Hyperlink"/>
          </w:rPr>
          <w:t xml:space="preserve">10.1038/s41586-023-06735-9</w:t>
        </w:r>
      </w:hyperlink>
      <w:r>
        <w:t xml:space="preserve">.</w:t>
      </w:r>
    </w:p>
    <w:bookmarkEnd w:id="46"/>
    <w:bookmarkStart w:id="48" w:name="ref-comanici2025gemini"/>
    <w:p>
      <w:pPr>
        <w:pStyle w:val="Bibliography"/>
      </w:pPr>
      <w:r>
        <w:t xml:space="preserve">[2]</w:t>
      </w:r>
      <w:r>
        <w:t xml:space="preserve"> </w:t>
      </w:r>
      <w:r>
        <w:t xml:space="preserve">	</w:t>
      </w:r>
      <w:r>
        <w:t xml:space="preserve">Google DeepMind,</w:t>
      </w:r>
      <w:r>
        <w:t xml:space="preserve"> </w:t>
      </w:r>
      <w:r>
        <w:t xml:space="preserve">Gemini 2.5</w:t>
      </w:r>
      <w:r>
        <w:t xml:space="preserve">: Pushing the frontier with advanced reasoning, multimodality, long context, and next-generation agentic capabilities, (2025).</w:t>
      </w:r>
      <w:r>
        <w:t xml:space="preserve"> </w:t>
      </w:r>
      <w:hyperlink r:id="rId47">
        <w:r>
          <w:rPr>
            <w:rStyle w:val="Hyperlink"/>
          </w:rPr>
          <w:t xml:space="preserve">https://arxiv.org/abs/2507.06261</w:t>
        </w:r>
      </w:hyperlink>
      <w:r>
        <w:t xml:space="preserve">.</w:t>
      </w:r>
    </w:p>
    <w:bookmarkEnd w:id="48"/>
    <w:bookmarkStart w:id="50" w:name="ref-xu2025deepresearch"/>
    <w:p>
      <w:pPr>
        <w:pStyle w:val="Bibliography"/>
      </w:pPr>
      <w:r>
        <w:t xml:space="preserve">[3]</w:t>
      </w:r>
      <w:r>
        <w:t xml:space="preserve"> </w:t>
      </w:r>
      <w:r>
        <w:t xml:space="preserve">	</w:t>
      </w:r>
      <w:r>
        <w:t xml:space="preserve">R. Xu, J. Peng, A comprehensive survey of deep research: Systems, methodologies, and applications, (2025).</w:t>
      </w:r>
      <w:r>
        <w:t xml:space="preserve"> </w:t>
      </w:r>
      <w:hyperlink r:id="rId49">
        <w:r>
          <w:rPr>
            <w:rStyle w:val="Hyperlink"/>
          </w:rPr>
          <w:t xml:space="preserve">https://arxiv.org/abs/2506.12594</w:t>
        </w:r>
      </w:hyperlink>
      <w:r>
        <w:t xml:space="preserve">.</w:t>
      </w:r>
    </w:p>
    <w:bookmarkEnd w:id="50"/>
    <w:bookmarkStart w:id="52" w:name="ref-aims2022"/>
    <w:p>
      <w:pPr>
        <w:pStyle w:val="Bibliography"/>
      </w:pPr>
      <w:r>
        <w:t xml:space="preserve">[4]</w:t>
      </w:r>
      <w:r>
        <w:t xml:space="preserve"> </w:t>
      </w:r>
      <w:r>
        <w:t xml:space="preserve">	</w:t>
      </w:r>
      <w:r>
        <w:t xml:space="preserve">W. Trehern, R. Ortiz-Ayala, K.C. Atli, R. Arróyave, I. Karaman, Data-driven shape memory alloy discovery using artificial intelligence materials selection (</w:t>
      </w:r>
      <w:r>
        <w:t xml:space="preserve">AIMS</w:t>
      </w:r>
      <w:r>
        <w:t xml:space="preserve">) framework, Acta Materialia 228 (2022) 117751. https://doi.org/</w:t>
      </w:r>
      <w:hyperlink r:id="rId51">
        <w:r>
          <w:rPr>
            <w:rStyle w:val="Hyperlink"/>
          </w:rPr>
          <w:t xml:space="preserve">10.1016/j.actamat.2022.117751</w:t>
        </w:r>
      </w:hyperlink>
      <w:r>
        <w:t xml:space="preserve">.</w:t>
      </w:r>
    </w:p>
    <w:bookmarkEnd w:id="52"/>
    <w:bookmarkStart w:id="54" w:name="ref-generativeinversion2025"/>
    <w:p>
      <w:pPr>
        <w:pStyle w:val="Bibliography"/>
      </w:pPr>
      <w:r>
        <w:t xml:space="preserve">[5]</w:t>
      </w:r>
      <w:r>
        <w:t xml:space="preserve"> </w:t>
      </w:r>
      <w:r>
        <w:t xml:space="preserve">	</w:t>
      </w:r>
      <w:r>
        <w:t xml:space="preserve">C. Li, P. Dang, Y. Xian, Y. Zhou, B. Shi, X. Ding, J. Sun, D. Xue, Generative inverse design for property-targeted materials design: Application to shape memory alloys, Advanced Functional Materials 36 (2026) 2527774. https://doi.org/</w:t>
      </w:r>
      <w:hyperlink r:id="rId53">
        <w:r>
          <w:rPr>
            <w:rStyle w:val="Hyperlink"/>
          </w:rPr>
          <w:t xml:space="preserve">10.1002/adfm.202527774</w:t>
        </w:r>
      </w:hyperlink>
      <w:r>
        <w:t xml:space="preserve">.</w:t>
      </w:r>
    </w:p>
    <w:bookmarkEnd w:id="54"/>
    <w:bookmarkStart w:id="56" w:name="ref-hu2024beyond"/>
    <w:p>
      <w:pPr>
        <w:pStyle w:val="Bibliography"/>
      </w:pPr>
      <w:r>
        <w:t xml:space="preserve">[6]</w:t>
      </w:r>
      <w:r>
        <w:t xml:space="preserve"> </w:t>
      </w:r>
      <w:r>
        <w:t xml:space="preserve">	</w:t>
      </w:r>
      <w:r>
        <w:t xml:space="preserve">Q. Hu, R. Han, M.J. Buehler, Beyond designer’s knowledge: Generating materials design hypotheses via large language models, (2024).</w:t>
      </w:r>
      <w:r>
        <w:t xml:space="preserve"> </w:t>
      </w:r>
      <w:hyperlink r:id="rId55">
        <w:r>
          <w:rPr>
            <w:rStyle w:val="Hyperlink"/>
          </w:rPr>
          <w:t xml:space="preserve">https://arxiv.org/abs/2409.06756</w:t>
        </w:r>
      </w:hyperlink>
      <w:r>
        <w:t xml:space="preserve">.</w:t>
      </w:r>
    </w:p>
    <w:bookmarkEnd w:id="56"/>
    <w:bookmarkStart w:id="57" w:name="ref-otsuka2005physical"/>
    <w:p>
      <w:pPr>
        <w:pStyle w:val="Bibliography"/>
      </w:pPr>
      <w:r>
        <w:t xml:space="preserve">[7]</w:t>
      </w:r>
      <w:r>
        <w:t xml:space="preserve"> </w:t>
      </w:r>
      <w:r>
        <w:t xml:space="preserve">	</w:t>
      </w:r>
      <w:r>
        <w:t xml:space="preserve">K. Otsuka, C.M. Wayman, Physical metallurgy of titanium-nickel-based shape memory alloys, Cambridge University Press, Cambridge, UK, 1998.</w:t>
      </w:r>
    </w:p>
    <w:bookmarkEnd w:id="57"/>
    <w:bookmarkStart w:id="59" w:name="ref-lagoudas2008shape"/>
    <w:p>
      <w:pPr>
        <w:pStyle w:val="Bibliography"/>
      </w:pPr>
      <w:r>
        <w:t xml:space="preserve">[8]</w:t>
      </w:r>
      <w:r>
        <w:t xml:space="preserve"> </w:t>
      </w:r>
      <w:r>
        <w:t xml:space="preserve">	</w:t>
      </w:r>
      <w:r>
        <w:t xml:space="preserve">D.C. Lagoudas, ed., Shape memory alloys: Modeling and engineering applications, Springer, New York, 2008. https://doi.org/</w:t>
      </w:r>
      <w:hyperlink r:id="rId58">
        <w:r>
          <w:rPr>
            <w:rStyle w:val="Hyperlink"/>
          </w:rPr>
          <w:t xml:space="preserve">10.1007/978-0-387-47685-8</w:t>
        </w:r>
      </w:hyperlink>
      <w:r>
        <w:t xml:space="preserve">.</w:t>
      </w:r>
    </w:p>
    <w:bookmarkEnd w:id="59"/>
    <w:bookmarkStart w:id="61" w:name="ref-duerig1999overview"/>
    <w:p>
      <w:pPr>
        <w:pStyle w:val="Bibliography"/>
      </w:pPr>
      <w:r>
        <w:t xml:space="preserve">[9]</w:t>
      </w:r>
      <w:r>
        <w:t xml:space="preserve"> </w:t>
      </w:r>
      <w:r>
        <w:t xml:space="preserve">	</w:t>
      </w:r>
      <w:r>
        <w:t xml:space="preserve">T. Duerig, A. Pelton, D. Stöckel, An overview of nitinol medical applications, Materials Science and Engineering: A 273–275 (1999) 149–160. https://doi.org/</w:t>
      </w:r>
      <w:hyperlink r:id="rId60">
        <w:r>
          <w:rPr>
            <w:rStyle w:val="Hyperlink"/>
          </w:rPr>
          <w:t xml:space="preserve">10.1016/S0921-5093(99)00294-4</w:t>
        </w:r>
      </w:hyperlink>
      <w:r>
        <w:t xml:space="preserve">.</w:t>
      </w:r>
    </w:p>
    <w:bookmarkEnd w:id="61"/>
    <w:bookmarkStart w:id="63" w:name="ref-mohd2014nitinol"/>
    <w:p>
      <w:pPr>
        <w:pStyle w:val="Bibliography"/>
      </w:pPr>
      <w:r>
        <w:t xml:space="preserve">[10]</w:t>
      </w:r>
      <w:r>
        <w:t xml:space="preserve"> </w:t>
      </w:r>
      <w:r>
        <w:t xml:space="preserve">	</w:t>
      </w:r>
      <w:r>
        <w:t xml:space="preserve">J. Mohd Jani, M. Leary, A. Subic, M.A. Gibson, A review of shape memory alloy research, applications and opportunities, Materials &amp; Design 56 (2014) 1078–1113. https://doi.org/</w:t>
      </w:r>
      <w:hyperlink r:id="rId62">
        <w:r>
          <w:rPr>
            <w:rStyle w:val="Hyperlink"/>
          </w:rPr>
          <w:t xml:space="preserve">10.1016/j.matdes.2013.11.084</w:t>
        </w:r>
      </w:hyperlink>
      <w:r>
        <w:t xml:space="preserve">.</w:t>
      </w:r>
    </w:p>
    <w:bookmarkEnd w:id="63"/>
    <w:bookmarkStart w:id="65" w:name="ref-cladera2014ironbased"/>
    <w:p>
      <w:pPr>
        <w:pStyle w:val="Bibliography"/>
      </w:pPr>
      <w:r>
        <w:t xml:space="preserve">[11]</w:t>
      </w:r>
      <w:r>
        <w:t xml:space="preserve"> </w:t>
      </w:r>
      <w:r>
        <w:t xml:space="preserve">	</w:t>
      </w:r>
      <w:r>
        <w:t xml:space="preserve">A. Cladera, B. Weber, C. Leinenbach, C. Czaderski, M. Shahverdi, M. Motavalli, Iron-based shape memory alloys for civil engineering structures: An overview, Construction and Building Materials 63 (2014) 281–293. https://doi.org/</w:t>
      </w:r>
      <w:hyperlink r:id="rId64">
        <w:r>
          <w:rPr>
            <w:rStyle w:val="Hyperlink"/>
          </w:rPr>
          <w:t xml:space="preserve">10.1016/j.conbuildmat.2014.04.032</w:t>
        </w:r>
      </w:hyperlink>
      <w:r>
        <w:t xml:space="preserve">.</w:t>
      </w:r>
    </w:p>
    <w:bookmarkEnd w:id="65"/>
    <w:bookmarkStart w:id="67" w:name="ref-omori2011superelastic"/>
    <w:p>
      <w:pPr>
        <w:pStyle w:val="Bibliography"/>
      </w:pPr>
      <w:r>
        <w:t xml:space="preserve">[12]</w:t>
      </w:r>
      <w:r>
        <w:t xml:space="preserve"> </w:t>
      </w:r>
      <w:r>
        <w:t xml:space="preserve">	</w:t>
      </w:r>
      <w:r>
        <w:t xml:space="preserve">T. Omori, K. Ando, M. Okano, X. Xu, Y. Tanaka, I. Ohnuma, R. Kainuma, K. Ishida, Superelastic effect in polycrystalline ferrous alloys, Science 333 (2011) 68–71. https://doi.org/</w:t>
      </w:r>
      <w:hyperlink r:id="rId66">
        <w:r>
          <w:rPr>
            <w:rStyle w:val="Hyperlink"/>
          </w:rPr>
          <w:t xml:space="preserve">10.1126/science.1202232</w:t>
        </w:r>
      </w:hyperlink>
      <w:r>
        <w:t xml:space="preserve">.</w:t>
      </w:r>
    </w:p>
    <w:bookmarkEnd w:id="67"/>
    <w:bookmarkStart w:id="69" w:name="ref-vollmer2016cyclic"/>
    <w:p>
      <w:pPr>
        <w:pStyle w:val="Bibliography"/>
      </w:pPr>
      <w:r>
        <w:t xml:space="preserve">[13]</w:t>
      </w:r>
      <w:r>
        <w:t xml:space="preserve"> </w:t>
      </w:r>
      <w:r>
        <w:t xml:space="preserve">	</w:t>
      </w:r>
      <w:r>
        <w:t xml:space="preserve">M. Vollmer, P. Krooß, M.J. Kriegel, V. Klemm, C. Somsen, H. Ozcan, I. Karaman, A. Weidner, D. Rafaja, H. Biermann, T. Niendorf, Cyclic degradation in bamboo-like</w:t>
      </w:r>
      <w:r>
        <w:t xml:space="preserve"> </w:t>
      </w:r>
      <w:r>
        <w:t xml:space="preserve">Fe-Mn-Al-Ni</w:t>
      </w:r>
      <w:r>
        <w:t xml:space="preserve"> </w:t>
      </w:r>
      <w:r>
        <w:t xml:space="preserve">shape memory alloys: The role of grain orientation, Scripta Materialia 114 (2016) 156–160. https://doi.org/</w:t>
      </w:r>
      <w:hyperlink r:id="rId68">
        <w:r>
          <w:rPr>
            <w:rStyle w:val="Hyperlink"/>
          </w:rPr>
          <w:t xml:space="preserve">10.1016/j.scriptamat.2015.12.007</w:t>
        </w:r>
      </w:hyperlink>
      <w:r>
        <w:t xml:space="preserve">.</w:t>
      </w:r>
    </w:p>
    <w:bookmarkEnd w:id="69"/>
    <w:bookmarkStart w:id="71" w:name="ref-abuzaid2019femnnial"/>
    <w:p>
      <w:pPr>
        <w:pStyle w:val="Bibliography"/>
      </w:pPr>
      <w:r>
        <w:t xml:space="preserve">[14]</w:t>
      </w:r>
      <w:r>
        <w:t xml:space="preserve"> </w:t>
      </w:r>
      <w:r>
        <w:t xml:space="preserve">	</w:t>
      </w:r>
      <w:r>
        <w:t xml:space="preserve">W. Abuzaid, Y. Wu, R. Sidharth, F. Brenne, S. Alkan, M. Vollmer, P. Krooß, T. Niendorf, H. Sehitoglu,</w:t>
      </w:r>
      <w:r>
        <w:t xml:space="preserve"> </w:t>
      </w:r>
      <w:r>
        <w:t xml:space="preserve">FeMnNiAl</w:t>
      </w:r>
      <w:r>
        <w:t xml:space="preserve"> </w:t>
      </w:r>
      <w:r>
        <w:t xml:space="preserve">iron-based shape memory alloy: Promises and challenges, Shape Memory and Superelasticity 5 (2019) 384–396. https://doi.org/</w:t>
      </w:r>
      <w:hyperlink r:id="rId70">
        <w:r>
          <w:rPr>
            <w:rStyle w:val="Hyperlink"/>
          </w:rPr>
          <w:t xml:space="preserve">10.1007/s40830-019-00230-9</w:t>
        </w:r>
      </w:hyperlink>
      <w:r>
        <w:t xml:space="preserve">.</w:t>
      </w:r>
    </w:p>
    <w:bookmarkEnd w:id="71"/>
    <w:bookmarkStart w:id="73" w:name="ref-omori2017martensitic"/>
    <w:p>
      <w:pPr>
        <w:pStyle w:val="Bibliography"/>
      </w:pPr>
      <w:r>
        <w:t xml:space="preserve">[15]</w:t>
      </w:r>
      <w:r>
        <w:t xml:space="preserve"> </w:t>
      </w:r>
      <w:r>
        <w:t xml:space="preserve">	</w:t>
      </w:r>
      <w:r>
        <w:t xml:space="preserve">T. Omori, R. Kainuma, Martensitic transformation and superelasticity in fe-mn-al-based shape memory alloys, Shape Memory and Superelasticity 3 (2017) 322–334. https://doi.org/</w:t>
      </w:r>
      <w:hyperlink r:id="rId72">
        <w:r>
          <w:rPr>
            <w:rStyle w:val="Hyperlink"/>
          </w:rPr>
          <w:t xml:space="preserve">10.1007/s40830-017-0129-9</w:t>
        </w:r>
      </w:hyperlink>
      <w:r>
        <w:t xml:space="preserve">.</w:t>
      </w:r>
    </w:p>
    <w:bookmarkEnd w:id="73"/>
    <w:bookmarkStart w:id="75" w:name="ref-omori2016agg"/>
    <w:p>
      <w:pPr>
        <w:pStyle w:val="Bibliography"/>
      </w:pPr>
      <w:r>
        <w:t xml:space="preserve">[16]</w:t>
      </w:r>
      <w:r>
        <w:t xml:space="preserve"> </w:t>
      </w:r>
      <w:r>
        <w:t xml:space="preserve">	</w:t>
      </w:r>
      <w:r>
        <w:t xml:space="preserve">T. Omori, H. Iwaizako, R. Kainuma, Abnormal grain growth induced by cyclic heat treatment in</w:t>
      </w:r>
      <w:r>
        <w:t xml:space="preserve"> </w:t>
      </w:r>
      <w:r>
        <w:t xml:space="preserve">Fe-Mn-Al-Ni</w:t>
      </w:r>
      <w:r>
        <w:t xml:space="preserve"> </w:t>
      </w:r>
      <w:r>
        <w:t xml:space="preserve">superelastic alloy, Materials &amp; Design 101 (2016) 263–269. https://doi.org/</w:t>
      </w:r>
      <w:hyperlink r:id="rId74">
        <w:r>
          <w:rPr>
            <w:rStyle w:val="Hyperlink"/>
          </w:rPr>
          <w:t xml:space="preserve">10.1016/j.matdes.2016.04.011</w:t>
        </w:r>
      </w:hyperlink>
      <w:r>
        <w:t xml:space="preserve">.</w:t>
      </w:r>
    </w:p>
    <w:bookmarkEnd w:id="75"/>
    <w:bookmarkStart w:id="77" w:name="ref-tai2024ssrf"/>
    <w:p>
      <w:pPr>
        <w:pStyle w:val="Bibliography"/>
      </w:pPr>
      <w:r>
        <w:t xml:space="preserve">[17]</w:t>
      </w:r>
      <w:r>
        <w:t xml:space="preserve"> </w:t>
      </w:r>
      <w:r>
        <w:t xml:space="preserve">	</w:t>
      </w:r>
      <w:r>
        <w:t xml:space="preserve">R.Z. Tai, Z.T. Zhao, Overview of</w:t>
      </w:r>
      <w:r>
        <w:t xml:space="preserve"> </w:t>
      </w:r>
      <w:r>
        <w:t xml:space="preserve">SSRF</w:t>
      </w:r>
      <w:r>
        <w:t xml:space="preserve"> </w:t>
      </w:r>
      <w:r>
        <w:t xml:space="preserve">phase-</w:t>
      </w:r>
      <w:r>
        <w:t xml:space="preserve">II</w:t>
      </w:r>
      <w:r>
        <w:t xml:space="preserve"> </w:t>
      </w:r>
      <w:r>
        <w:t xml:space="preserve">beamlines, Nuclear Science and Techniques 35 (2024) 137. https://doi.org/</w:t>
      </w:r>
      <w:hyperlink r:id="rId76">
        <w:r>
          <w:rPr>
            <w:rStyle w:val="Hyperlink"/>
          </w:rPr>
          <w:t xml:space="preserve">10.1007/s41365-024-01487-1</w:t>
        </w:r>
      </w:hyperlink>
      <w:r>
        <w:t xml:space="preserve">.</w:t>
      </w:r>
    </w:p>
    <w:bookmarkEnd w:id="77"/>
    <w:bookmarkStart w:id="79" w:name="ref-yang2024ssrf"/>
    <w:p>
      <w:pPr>
        <w:pStyle w:val="Bibliography"/>
      </w:pPr>
      <w:r>
        <w:t xml:space="preserve">[18]</w:t>
      </w:r>
      <w:r>
        <w:t xml:space="preserve"> </w:t>
      </w:r>
      <w:r>
        <w:t xml:space="preserve">	</w:t>
      </w:r>
      <w:r>
        <w:t xml:space="preserve">K. Yang, Z.-H. Dong, C.-Y. Zhou, Z.-L. Zhao, D.-X. Liang, S.-C. Cao, others</w:t>
      </w:r>
      <w:r>
        <w:t xml:space="preserve">, Ultrahard</w:t>
      </w:r>
      <w:r>
        <w:t xml:space="preserve"> </w:t>
      </w:r>
      <w:r>
        <w:t xml:space="preserve">X-ray</w:t>
      </w:r>
      <w:r>
        <w:t xml:space="preserve"> </w:t>
      </w:r>
      <w:r>
        <w:t xml:space="preserve">multifunctional application beamline at the</w:t>
      </w:r>
      <w:r>
        <w:t xml:space="preserve"> </w:t>
      </w:r>
      <w:r>
        <w:t xml:space="preserve">SSRF</w:t>
      </w:r>
      <w:r>
        <w:t xml:space="preserve">, Nuclear Science and Techniques 35 (2024) 98. https://doi.org/</w:t>
      </w:r>
      <w:hyperlink r:id="rId78">
        <w:r>
          <w:rPr>
            <w:rStyle w:val="Hyperlink"/>
          </w:rPr>
          <w:t xml:space="preserve">10.1007/s41365-024-01468-4</w:t>
        </w:r>
      </w:hyperlink>
      <w:r>
        <w:t xml:space="preserve">.</w:t>
      </w:r>
    </w:p>
    <w:bookmarkEnd w:id="79"/>
    <w:bookmarkStart w:id="80" w:name="ref-hammersley1998fit2d"/>
    <w:p>
      <w:pPr>
        <w:pStyle w:val="Bibliography"/>
      </w:pPr>
      <w:r>
        <w:t xml:space="preserve">[19]</w:t>
      </w:r>
      <w:r>
        <w:t xml:space="preserve"> </w:t>
      </w:r>
      <w:r>
        <w:t xml:space="preserve">	</w:t>
      </w:r>
      <w:r>
        <w:t xml:space="preserve">A.P. Hammersley,</w:t>
      </w:r>
      <w:r>
        <w:t xml:space="preserve"> </w:t>
      </w:r>
      <w:r>
        <w:t xml:space="preserve">FIT2D</w:t>
      </w:r>
      <w:r>
        <w:t xml:space="preserve"> </w:t>
      </w:r>
      <w:r>
        <w:t xml:space="preserve">V9.129 reference manual V3.1, (1998).</w:t>
      </w:r>
    </w:p>
    <w:bookmarkEnd w:id="80"/>
    <w:bookmarkStart w:id="82" w:name="ref-rietveld1969"/>
    <w:p>
      <w:pPr>
        <w:pStyle w:val="Bibliography"/>
      </w:pPr>
      <w:r>
        <w:t xml:space="preserve">[20]</w:t>
      </w:r>
      <w:r>
        <w:t xml:space="preserve"> </w:t>
      </w:r>
      <w:r>
        <w:t xml:space="preserve">	</w:t>
      </w:r>
      <w:r>
        <w:t xml:space="preserve">H.M. Rietveld, A profile refinement method for nuclear and magnetic structures, Journal of Applied Crystallography 2 (1969) 65–71. https://doi.org/</w:t>
      </w:r>
      <w:hyperlink r:id="rId81">
        <w:r>
          <w:rPr>
            <w:rStyle w:val="Hyperlink"/>
          </w:rPr>
          <w:t xml:space="preserve">10.1107/S0021889869006558</w:t>
        </w:r>
      </w:hyperlink>
      <w:r>
        <w:t xml:space="preserve">.</w:t>
      </w:r>
    </w:p>
    <w:bookmarkEnd w:id="82"/>
    <w:bookmarkStart w:id="84" w:name="ref-lutterotti1997maud"/>
    <w:p>
      <w:pPr>
        <w:pStyle w:val="Bibliography"/>
      </w:pPr>
      <w:r>
        <w:t xml:space="preserve">[21]</w:t>
      </w:r>
      <w:r>
        <w:t xml:space="preserve"> </w:t>
      </w:r>
      <w:r>
        <w:t xml:space="preserve">	</w:t>
      </w:r>
      <w:r>
        <w:t xml:space="preserve">L. Lutterotti, S. Matthies, H.R. Wenk, A.S. Schultz, J.W. Richardson, Combined texture and structure analysis of deformed limestone from time-of-flight neutron diffraction spectra, Journal of Applied Physics 81 (1997) 594–600. https://doi.org/</w:t>
      </w:r>
      <w:hyperlink r:id="rId83">
        <w:r>
          <w:rPr>
            <w:rStyle w:val="Hyperlink"/>
          </w:rPr>
          <w:t xml:space="preserve">10.1063/1.364220</w:t>
        </w:r>
      </w:hyperlink>
      <w:r>
        <w:t xml:space="preserve">.</w:t>
      </w:r>
    </w:p>
    <w:bookmarkEnd w:id="84"/>
    <w:bookmarkStart w:id="86" w:name="ref-tanaka2010science"/>
    <w:p>
      <w:pPr>
        <w:pStyle w:val="Bibliography"/>
      </w:pPr>
      <w:r>
        <w:t xml:space="preserve">[22]</w:t>
      </w:r>
      <w:r>
        <w:t xml:space="preserve"> </w:t>
      </w:r>
      <w:r>
        <w:t xml:space="preserve">	</w:t>
      </w:r>
      <w:r>
        <w:t xml:space="preserve">Y. Tanaka, Y. Himuro, R. Kainuma, Y. Sutou, T. Omori, K. Ishida, Ferrous polycrystalline shape-memory alloy showing huge superelasticity, Science 327 (2010) 1488–1490. https://doi.org/</w:t>
      </w:r>
      <w:hyperlink r:id="rId85">
        <w:r>
          <w:rPr>
            <w:rStyle w:val="Hyperlink"/>
          </w:rPr>
          <w:t xml:space="preserve">10.1126/science.1183169</w:t>
        </w:r>
      </w:hyperlink>
      <w:r>
        <w:t xml:space="preserve">.</w:t>
      </w:r>
    </w:p>
    <w:bookmarkEnd w:id="86"/>
    <w:bookmarkStart w:id="88" w:name="ref-vollmer2019natcomm"/>
    <w:p>
      <w:pPr>
        <w:pStyle w:val="Bibliography"/>
      </w:pPr>
      <w:r>
        <w:t xml:space="preserve">[23]</w:t>
      </w:r>
      <w:r>
        <w:t xml:space="preserve"> </w:t>
      </w:r>
      <w:r>
        <w:t xml:space="preserve">	</w:t>
      </w:r>
      <w:r>
        <w:t xml:space="preserve">M. Vollmer, T. Arold, M.J. Kriegel, V. Klemm, S. Degener, J. Freudenberger, T. Niendorf, Promoting abnormal grain growth in</w:t>
      </w:r>
      <w:r>
        <w:t xml:space="preserve"> </w:t>
      </w:r>
      <w:r>
        <w:t xml:space="preserve">Fe</w:t>
      </w:r>
      <w:r>
        <w:t xml:space="preserve">-based shape memory alloys through compositional adjustments, Nature Communications 10 (2019) 2337. https://doi.org/</w:t>
      </w:r>
      <w:hyperlink r:id="rId87">
        <w:r>
          <w:rPr>
            <w:rStyle w:val="Hyperlink"/>
          </w:rPr>
          <w:t xml:space="preserve">10.1038/s41467-019-10308-8</w:t>
        </w:r>
      </w:hyperlink>
      <w:r>
        <w:t xml:space="preserve">.</w:t>
      </w:r>
    </w:p>
    <w:bookmarkEnd w:id="88"/>
    <w:bookmarkStart w:id="89" w:name="ref-bhadeshia2010steels"/>
    <w:p>
      <w:pPr>
        <w:pStyle w:val="Bibliography"/>
      </w:pPr>
      <w:r>
        <w:t xml:space="preserve">[24]</w:t>
      </w:r>
      <w:r>
        <w:t xml:space="preserve"> </w:t>
      </w:r>
      <w:r>
        <w:t xml:space="preserve">	</w:t>
      </w:r>
      <w:r>
        <w:t xml:space="preserve">H.K.D.H. Bhadeshia, R.W.K. Honeycombe, Steels: Microstructure and properties, Fourth, Elsevier Butterworth-Heinemann, Oxford, 2017.</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hyperlink" Id="rId55" Target="https://arxiv.org/abs/2409.06756" TargetMode="External" /><Relationship Type="http://schemas.openxmlformats.org/officeDocument/2006/relationships/hyperlink" Id="rId49" Target="https://arxiv.org/abs/2506.12594" TargetMode="External" /><Relationship Type="http://schemas.openxmlformats.org/officeDocument/2006/relationships/hyperlink" Id="rId47" Target="https://arxiv.org/abs/2507.06261" TargetMode="External" /><Relationship Type="http://schemas.openxmlformats.org/officeDocument/2006/relationships/hyperlink" Id="rId53" Target="https://doi.org/10.1002/adfm.202527774" TargetMode="External" /><Relationship Type="http://schemas.openxmlformats.org/officeDocument/2006/relationships/hyperlink" Id="rId58" Target="https://doi.org/10.1007/978-0-387-47685-8" TargetMode="External" /><Relationship Type="http://schemas.openxmlformats.org/officeDocument/2006/relationships/hyperlink" Id="rId72" Target="https://doi.org/10.1007/s40830-017-0129-9" TargetMode="External" /><Relationship Type="http://schemas.openxmlformats.org/officeDocument/2006/relationships/hyperlink" Id="rId70" Target="https://doi.org/10.1007/s40830-019-00230-9" TargetMode="External" /><Relationship Type="http://schemas.openxmlformats.org/officeDocument/2006/relationships/hyperlink" Id="rId7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60" Target="https://doi.org/10.1016/S0921-5093(99)00294-4" TargetMode="External" /><Relationship Type="http://schemas.openxmlformats.org/officeDocument/2006/relationships/hyperlink" Id="rId51" Target="https://doi.org/10.1016/j.actamat.2022.117751" TargetMode="External" /><Relationship Type="http://schemas.openxmlformats.org/officeDocument/2006/relationships/hyperlink" Id="rId64" Target="https://doi.org/10.1016/j.conbuildmat.2014.04.032" TargetMode="External" /><Relationship Type="http://schemas.openxmlformats.org/officeDocument/2006/relationships/hyperlink" Id="rId62" Target="https://doi.org/10.1016/j.matdes.2013.11.084" TargetMode="External" /><Relationship Type="http://schemas.openxmlformats.org/officeDocument/2006/relationships/hyperlink" Id="rId74" Target="https://doi.org/10.1016/j.matdes.2016.04.011" TargetMode="External" /><Relationship Type="http://schemas.openxmlformats.org/officeDocument/2006/relationships/hyperlink" Id="rId68" Target="https://doi.org/10.1016/j.scriptamat.2015.12.007" TargetMode="External" /><Relationship Type="http://schemas.openxmlformats.org/officeDocument/2006/relationships/hyperlink" Id="rId87" Target="https://doi.org/10.1038/s41467-019-10308-8" TargetMode="External" /><Relationship Type="http://schemas.openxmlformats.org/officeDocument/2006/relationships/hyperlink" Id="rId45" Target="https://doi.org/10.1038/s41586-023-06735-9" TargetMode="External" /><Relationship Type="http://schemas.openxmlformats.org/officeDocument/2006/relationships/hyperlink" Id="rId83" Target="https://doi.org/10.1063/1.364220" TargetMode="External" /><Relationship Type="http://schemas.openxmlformats.org/officeDocument/2006/relationships/hyperlink" Id="rId81" Target="https://doi.org/10.1107/S0021889869006558" TargetMode="External" /><Relationship Type="http://schemas.openxmlformats.org/officeDocument/2006/relationships/hyperlink" Id="rId85" Target="https://doi.org/10.1126/science.1183169" TargetMode="External" /><Relationship Type="http://schemas.openxmlformats.org/officeDocument/2006/relationships/hyperlink" Id="rId66" Target="https://doi.org/10.1126/science.1202232" TargetMode="External" /></Relationships>
</file>

<file path=word/_rels/footnotes.xml.rels><?xml version="1.0" encoding="UTF-8"?><Relationships xmlns="http://schemas.openxmlformats.org/package/2006/relationships"><Relationship Type="http://schemas.openxmlformats.org/officeDocument/2006/relationships/hyperlink" Id="rId55" Target="https://arxiv.org/abs/2409.06756" TargetMode="External" /><Relationship Type="http://schemas.openxmlformats.org/officeDocument/2006/relationships/hyperlink" Id="rId49" Target="https://arxiv.org/abs/2506.12594" TargetMode="External" /><Relationship Type="http://schemas.openxmlformats.org/officeDocument/2006/relationships/hyperlink" Id="rId47" Target="https://arxiv.org/abs/2507.06261" TargetMode="External" /><Relationship Type="http://schemas.openxmlformats.org/officeDocument/2006/relationships/hyperlink" Id="rId53" Target="https://doi.org/10.1002/adfm.202527774" TargetMode="External" /><Relationship Type="http://schemas.openxmlformats.org/officeDocument/2006/relationships/hyperlink" Id="rId58" Target="https://doi.org/10.1007/978-0-387-47685-8" TargetMode="External" /><Relationship Type="http://schemas.openxmlformats.org/officeDocument/2006/relationships/hyperlink" Id="rId72" Target="https://doi.org/10.1007/s40830-017-0129-9" TargetMode="External" /><Relationship Type="http://schemas.openxmlformats.org/officeDocument/2006/relationships/hyperlink" Id="rId70" Target="https://doi.org/10.1007/s40830-019-00230-9" TargetMode="External" /><Relationship Type="http://schemas.openxmlformats.org/officeDocument/2006/relationships/hyperlink" Id="rId7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60" Target="https://doi.org/10.1016/S0921-5093(99)00294-4" TargetMode="External" /><Relationship Type="http://schemas.openxmlformats.org/officeDocument/2006/relationships/hyperlink" Id="rId51" Target="https://doi.org/10.1016/j.actamat.2022.117751" TargetMode="External" /><Relationship Type="http://schemas.openxmlformats.org/officeDocument/2006/relationships/hyperlink" Id="rId64" Target="https://doi.org/10.1016/j.conbuildmat.2014.04.032" TargetMode="External" /><Relationship Type="http://schemas.openxmlformats.org/officeDocument/2006/relationships/hyperlink" Id="rId62" Target="https://doi.org/10.1016/j.matdes.2013.11.084" TargetMode="External" /><Relationship Type="http://schemas.openxmlformats.org/officeDocument/2006/relationships/hyperlink" Id="rId74" Target="https://doi.org/10.1016/j.matdes.2016.04.011" TargetMode="External" /><Relationship Type="http://schemas.openxmlformats.org/officeDocument/2006/relationships/hyperlink" Id="rId68" Target="https://doi.org/10.1016/j.scriptamat.2015.12.007" TargetMode="External" /><Relationship Type="http://schemas.openxmlformats.org/officeDocument/2006/relationships/hyperlink" Id="rId87" Target="https://doi.org/10.1038/s41467-019-10308-8" TargetMode="External" /><Relationship Type="http://schemas.openxmlformats.org/officeDocument/2006/relationships/hyperlink" Id="rId45" Target="https://doi.org/10.1038/s41586-023-06735-9" TargetMode="External" /><Relationship Type="http://schemas.openxmlformats.org/officeDocument/2006/relationships/hyperlink" Id="rId83" Target="https://doi.org/10.1063/1.364220" TargetMode="External" /><Relationship Type="http://schemas.openxmlformats.org/officeDocument/2006/relationships/hyperlink" Id="rId81" Target="https://doi.org/10.1107/S0021889869006558" TargetMode="External" /><Relationship Type="http://schemas.openxmlformats.org/officeDocument/2006/relationships/hyperlink" Id="rId85" Target="https://doi.org/10.1126/science.1183169" TargetMode="External" /><Relationship Type="http://schemas.openxmlformats.org/officeDocument/2006/relationships/hyperlink" Id="rId66" Target="https://doi.org/10.1126/science.12022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Responses of an AI-Hypothesized Super-elastic Fe-Mn-Al-Ni-Si-C Alloy</dc:title>
  <dc:creator/>
  <cp:keywords/>
  <dcterms:created xsi:type="dcterms:W3CDTF">2026-07-13T21:43:13Z</dcterms:created>
  <dcterms:modified xsi:type="dcterms:W3CDTF">2026-07-13T21:43:13Z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