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July 13, 2026</w:t>
      </w:r>
    </w:p>
    <w:p>
      <w:pPr>
        <w:pStyle w:val="BodyText"/>
      </w:pPr>
      <w:r>
        <w:t xml:space="preserve">Editor-in-Chief</w:t>
      </w:r>
      <w:r>
        <w:t xml:space="preserve"> </w:t>
      </w:r>
      <w:r>
        <w:t xml:space="preserve">Materials Science and Engineering: A</w:t>
      </w:r>
      <w:r>
        <w:t xml:space="preserve"> </w:t>
      </w:r>
      <w:r>
        <w:t xml:space="preserve">Elsevier</w:t>
      </w:r>
    </w:p>
    <w:p>
      <w:pPr>
        <w:pStyle w:val="BodyText"/>
      </w:pPr>
      <w:r>
        <w:t xml:space="preserve">Dear Editor-in-Chief,</w:t>
      </w:r>
    </w:p>
    <w:p>
      <w:pPr>
        <w:pStyle w:val="BodyText"/>
      </w:pPr>
      <w:r>
        <w:rPr>
          <w:b/>
          <w:bCs/>
        </w:rPr>
        <w:t xml:space="preserve">RE: Submission of Original Manuscript —</w:t>
      </w:r>
      <w:r>
        <w:rPr>
          <w:b/>
          <w:bCs/>
        </w:rPr>
        <w:t xml:space="preserve"> </w:t>
      </w:r>
      <w:r>
        <w:rPr>
          <w:b/>
          <w:bCs/>
        </w:rPr>
        <w:t xml:space="preserve">“Mechanical Responses of an AI-Hypothesized Super-elastic Fe-Mn-Al-Ni-Si-C Alloy”</w:t>
      </w:r>
    </w:p>
    <w:p>
      <w:pPr>
        <w:pStyle w:val="BodyText"/>
      </w:pPr>
      <w:r>
        <w:t xml:space="preserve">We are writing to submit our manuscript entitled</w:t>
      </w:r>
      <w:r>
        <w:t xml:space="preserve"> </w:t>
      </w:r>
      <w:r>
        <w:t xml:space="preserve">“Mechanical Responses of an AI-Hypothesized Super-elastic Fe-Mn-Al-Ni-Si-C Alloy”</w:t>
      </w:r>
      <w:r>
        <w:t xml:space="preserve"> </w:t>
      </w:r>
      <w:r>
        <w:t xml:space="preserve">for consideration for publication in</w:t>
      </w:r>
      <w:r>
        <w:t xml:space="preserve"> </w:t>
      </w:r>
      <w:r>
        <w:rPr>
          <w:i/>
          <w:iCs/>
        </w:rPr>
        <w:t xml:space="preserve">Materials Science and Engineering: A</w:t>
      </w:r>
      <w:r>
        <w:t xml:space="preserve"> </w:t>
      </w:r>
      <w:r>
        <w:t xml:space="preserve">as a Research Article.</w:t>
      </w:r>
    </w:p>
    <w:p>
      <w:pPr>
        <w:pStyle w:val="BodyText"/>
      </w:pPr>
      <w:r>
        <w:t xml:space="preserve">Large language model (LLM) deep-research agents can now propose new alloy compositions from thermodynamic and literature data in seconds, but whether such AI-proposed compositions survive physical synthesis and deliver their intended properties has rarely been tested experimentally. In this study we used an LLM deep-research agent to hypothesize a low-cost Fe-Mn-Al-Si-Ni-C composition intended to exhibit room-temperature super-elasticity, then synthesized and characterized it under conditions identical to the established benchmark Fe-Mn-Al-Ni alloy of Omori</w:t>
      </w:r>
      <w:r>
        <w:t xml:space="preserve"> </w:t>
      </w:r>
      <w:r>
        <w:rPr>
          <w:i/>
          <w:iCs/>
        </w:rPr>
        <w:t xml:space="preserve">et al.</w:t>
      </w:r>
    </w:p>
    <w:p>
      <w:pPr>
        <w:pStyle w:val="BodyText"/>
      </w:pPr>
      <w:r>
        <w:t xml:space="preserve">We report what may be the first synthesis and mechanical characterization of such an AI-hypothesized shape memory alloy. The AI-designed alloy was readily castable but showed no super-elastic or shape-memory recovery across every anneal condition tested, behaving instead like a conventional elastically deforming metal — in clear contrast to the benchmark alloy’s confirmed stress-induced martensite reversion. Quantitative Rietveld refinement of synchrotron X-ray diffraction data traced this failure to a phase-stability mismatch: the AI alloy forms a γ-FCC-dominated (≈62%) structure with a minor ordered DO₃ Fe₃Al phase in place of the benchmark’s coherent, transformation-promoting β-NiAl (B2) precipitates, apparently favored by the AI alloy’s elevated carbon content. Separately, our anneal-temperature sweep (600–1200 °C) traces this same AI alloy through recovery, recrystallization, and grain growth, giving a complete processing–microstructure–property map even though the intended transformation behavior was not achieved.</w:t>
      </w:r>
    </w:p>
    <w:p>
      <w:pPr>
        <w:pStyle w:val="BodyText"/>
      </w:pPr>
      <w:r>
        <w:t xml:space="preserve">We believe</w:t>
      </w:r>
      <w:r>
        <w:t xml:space="preserve"> </w:t>
      </w:r>
      <w:r>
        <w:rPr>
          <w:i/>
          <w:iCs/>
        </w:rPr>
        <w:t xml:space="preserve">Materials Science and Engineering: A</w:t>
      </w:r>
      <w:r>
        <w:t xml:space="preserve"> </w:t>
      </w:r>
      <w:r>
        <w:t xml:space="preserve">is a strong fit for this work: its core scope — the relationships among processing, microstructure, and mechanical properties of structural materials — is exactly what this manuscript delivers, from the recrystallization threshold identified near 800 °C to the Hall–Petch-consistent strength–ductility trade-off observed on further grain growth. The manuscript’s central finding, that an AI-hypothesized composition failed to achieve its intended transformation behavior for identifiable, mechanistic reasons, extends this journal’s long-standing coverage of the Fe-Mn-Al-Ni shape memory alloy system with a cautionary, testable result for the growing community using AI-guided alloy design.</w:t>
      </w:r>
    </w:p>
    <w:p>
      <w:pPr>
        <w:pStyle w:val="BodyText"/>
      </w:pPr>
      <w:r>
        <w:t xml:space="preserve">We confirm that this manuscript has not been published previously and is not under consideration elsewhere, and that all authors have read and approved the final manuscript. Google Gemini 2.5 (Deep Research) was used as described in the manuscript itself (Sec. 2.1) to hypothesize the alloy composition under study; this is a study method, not a manuscript-preparation aid. No generative AI tools were used to draft, edit, or otherwise prepare the text of this manuscript.</w:t>
      </w:r>
    </w:p>
    <w:p>
      <w:pPr>
        <w:pStyle w:val="BodyText"/>
      </w:pPr>
      <w:r>
        <w:t xml:space="preserve">Thank you for considering our submission. We look forward to hearing from you.</w:t>
      </w:r>
    </w:p>
    <w:p>
      <w:pPr>
        <w:pStyle w:val="BodyText"/>
      </w:pPr>
      <w:r>
        <w:t xml:space="preserve">Sincerely,</w:t>
      </w:r>
    </w:p>
    <w:p>
      <w:pPr>
        <w:pStyle w:val="BodyText"/>
      </w:pPr>
      <w:r>
        <w:t xml:space="preserve">Frank Y. Cai</w:t>
      </w:r>
      <w:r>
        <w:t xml:space="preserve"> </w:t>
      </w:r>
      <w:r>
        <w:t xml:space="preserve">Corresponding Author</w:t>
      </w:r>
      <w:r>
        <w:t xml:space="preserve"> </w:t>
      </w:r>
      <w:r>
        <w:t xml:space="preserve">School of Engineering Technologies, Purdue University, West Lafayette, Indiana, USA</w:t>
      </w:r>
      <w:r>
        <w:t xml:space="preserve"> </w:t>
      </w:r>
      <w:r>
        <w:t xml:space="preserve">cai485@purdue.edu</w:t>
      </w:r>
    </w:p>
    <w:p>
      <w:pPr>
        <w:pStyle w:val="BodyText"/>
      </w:pPr>
      <w:r>
        <w:t xml:space="preserve">On behalf of co-authors S. Cai (Fort Wayne Metals) and J. Yan (Shanghai Synchrotron Radiation Facility)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2026-07-13T21:48:18Z</dcterms:created>
  <dcterms:modified xsi:type="dcterms:W3CDTF">2026-07-13T21:48:18Z</dcterms:modified>
</cp:coreProperties>
</file>

<file path=docProps/custom.xml><?xml version="1.0" encoding="utf-8"?>
<Properties xmlns="http://schemas.openxmlformats.org/officeDocument/2006/custom-properties" xmlns:vt="http://schemas.openxmlformats.org/officeDocument/2006/docPropsVTypes"/>
</file>