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First synthesis and test of an LLM-hypothesized Fe-Mn-Al-Ni-Si-C shape memory alloy</w:t>
      </w:r>
    </w:p>
    <w:p>
      <w:pPr>
        <w:pStyle w:val="Compact"/>
        <w:numPr>
          <w:ilvl w:val="0"/>
          <w:numId w:val="1001"/>
        </w:numPr>
      </w:pPr>
      <w:r>
        <w:t xml:space="preserve">AI alloy shows no super-elastic or shape-memory recovery under any anneal tested</w:t>
      </w:r>
    </w:p>
    <w:p>
      <w:pPr>
        <w:pStyle w:val="Compact"/>
        <w:numPr>
          <w:ilvl w:val="0"/>
          <w:numId w:val="1001"/>
        </w:numPr>
      </w:pPr>
      <w:r>
        <w:t xml:space="preserve">Omori benchmark recovers ≈0.5% strain on heating, confirming martensite reversion</w:t>
      </w:r>
    </w:p>
    <w:p>
      <w:pPr>
        <w:pStyle w:val="Compact"/>
        <w:numPr>
          <w:ilvl w:val="0"/>
          <w:numId w:val="1001"/>
        </w:numPr>
      </w:pPr>
      <w:r>
        <w:t xml:space="preserve">Rietveld refinement: AI alloy is 62% FCC + 34% BCC + 4% DO3 Fe3Al, no B2 precipitates</w:t>
      </w:r>
    </w:p>
    <w:p>
      <w:pPr>
        <w:pStyle w:val="Compact"/>
        <w:numPr>
          <w:ilvl w:val="0"/>
          <w:numId w:val="1001"/>
        </w:numPr>
      </w:pPr>
      <w:r>
        <w:t xml:space="preserve">Elevated carbon raises FCC stability, leaving too little BCC for transformation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2026-07-13T21:46:40Z</dcterms:created>
  <dcterms:modified xsi:type="dcterms:W3CDTF">2026-07-13T21:46:40Z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